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9D6F78" w14:textId="77777777" w:rsidR="004D22A5" w:rsidRPr="00C342A7" w:rsidRDefault="00BF7FEF" w:rsidP="00BF7FEF">
      <w:pPr>
        <w:jc w:val="right"/>
        <w:rPr>
          <w:rFonts w:ascii="Times New Roman" w:hAnsi="Times New Roman" w:cs="Times New Roman"/>
          <w:b/>
          <w:i/>
          <w:u w:val="single"/>
          <w:lang w:val="en-US"/>
        </w:rPr>
      </w:pPr>
      <w:r w:rsidRPr="00C342A7">
        <w:rPr>
          <w:rFonts w:ascii="Times New Roman" w:hAnsi="Times New Roman"/>
          <w:b/>
          <w:i/>
          <w:u w:val="single"/>
          <w:lang w:val="en-US"/>
        </w:rPr>
        <w:t>Translation from Romanian</w:t>
      </w:r>
    </w:p>
    <w:p w14:paraId="1D9D6F79" w14:textId="77777777" w:rsidR="00BF7FEF" w:rsidRPr="00C342A7" w:rsidRDefault="00BF7FEF" w:rsidP="00BF7FEF">
      <w:pPr>
        <w:jc w:val="both"/>
        <w:rPr>
          <w:rFonts w:ascii="Times New Roman" w:hAnsi="Times New Roman" w:cs="Times New Roman"/>
          <w:b/>
          <w:sz w:val="24"/>
          <w:szCs w:val="24"/>
          <w:lang w:val="en-US"/>
        </w:rPr>
      </w:pPr>
      <w:r w:rsidRPr="00C342A7">
        <w:rPr>
          <w:rFonts w:ascii="Times New Roman" w:hAnsi="Times New Roman"/>
          <w:b/>
          <w:sz w:val="24"/>
          <w:lang w:val="en-US"/>
        </w:rPr>
        <w:t>HISTORICAL STUDY FOR THE ANALYSIS OF THE POSSIBILITIES OF FUNCTIONAL CONVERSION OF THE ANNEXES, THE GREENHOUSE AND THE ENHANCEMENT OF THE LIBRECHT - FILIPESCU HOUSE - today the University House (historical monument - code LMI B-II-m-A-19107)</w:t>
      </w:r>
    </w:p>
    <w:p w14:paraId="1D9D6F7A" w14:textId="77777777" w:rsidR="00BF7FEF" w:rsidRPr="00C342A7" w:rsidRDefault="00BF7FEF" w:rsidP="00BF7FEF">
      <w:pPr>
        <w:jc w:val="right"/>
        <w:rPr>
          <w:rFonts w:ascii="Times New Roman" w:hAnsi="Times New Roman" w:cs="Times New Roman"/>
          <w:b/>
          <w:sz w:val="24"/>
          <w:szCs w:val="24"/>
          <w:lang w:val="en-US"/>
        </w:rPr>
      </w:pPr>
      <w:r w:rsidRPr="00C342A7">
        <w:rPr>
          <w:rFonts w:ascii="Times New Roman" w:hAnsi="Times New Roman"/>
          <w:b/>
          <w:sz w:val="24"/>
          <w:lang w:val="en-US"/>
        </w:rPr>
        <w:t>STRADA DIONISIE LUPU, NR. 46,</w:t>
      </w:r>
    </w:p>
    <w:p w14:paraId="1D9D6F7B" w14:textId="77777777" w:rsidR="00BF7FEF" w:rsidRPr="00C342A7" w:rsidRDefault="00BF7FEF" w:rsidP="00BF7FEF">
      <w:pPr>
        <w:jc w:val="right"/>
        <w:rPr>
          <w:rFonts w:ascii="Times New Roman" w:hAnsi="Times New Roman" w:cs="Times New Roman"/>
          <w:b/>
          <w:sz w:val="24"/>
          <w:szCs w:val="24"/>
          <w:lang w:val="en-US"/>
        </w:rPr>
      </w:pPr>
      <w:r w:rsidRPr="00C342A7">
        <w:rPr>
          <w:rFonts w:ascii="Times New Roman" w:hAnsi="Times New Roman"/>
          <w:b/>
          <w:sz w:val="24"/>
          <w:lang w:val="en-US"/>
        </w:rPr>
        <w:t>SECTOR 2, MUNICIPIUL BUCURESTI</w:t>
      </w:r>
    </w:p>
    <w:p w14:paraId="1D9D6F7C" w14:textId="77777777" w:rsidR="00BF7FEF" w:rsidRPr="00C342A7" w:rsidRDefault="00BF7FEF" w:rsidP="00BF7FEF">
      <w:pPr>
        <w:jc w:val="both"/>
        <w:rPr>
          <w:rFonts w:ascii="Times New Roman" w:hAnsi="Times New Roman" w:cs="Times New Roman"/>
          <w:b/>
          <w:color w:val="FFFFFF" w:themeColor="background1"/>
          <w:sz w:val="24"/>
          <w:szCs w:val="24"/>
          <w:highlight w:val="darkGreen"/>
          <w:shd w:val="clear" w:color="auto" w:fill="00B050"/>
          <w:lang w:val="en-US"/>
        </w:rPr>
      </w:pPr>
      <w:r w:rsidRPr="00C342A7">
        <w:rPr>
          <w:rFonts w:ascii="Times New Roman" w:hAnsi="Times New Roman"/>
          <w:b/>
          <w:sz w:val="24"/>
          <w:lang w:val="en-US"/>
        </w:rPr>
        <w:t>SHEET NO. 1.5. - CURRENT CHARACTERISTICS OF THE STREET NETWORK, PLOT AND BUILT-UP LAND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76"/>
      </w:tblGrid>
      <w:tr w:rsidR="00BF7FEF" w:rsidRPr="00C342A7" w14:paraId="1D9D6F7E" w14:textId="77777777" w:rsidTr="00BF7FEF">
        <w:tc>
          <w:tcPr>
            <w:tcW w:w="13176" w:type="dxa"/>
          </w:tcPr>
          <w:p w14:paraId="1D9D6F7D" w14:textId="77777777" w:rsidR="00BF7FEF" w:rsidRPr="00C342A7" w:rsidRDefault="00416D04" w:rsidP="00BF7FEF">
            <w:pPr>
              <w:jc w:val="center"/>
              <w:rPr>
                <w:rFonts w:ascii="Times New Roman" w:hAnsi="Times New Roman" w:cs="Times New Roman"/>
                <w:lang w:val="en-US"/>
              </w:rPr>
            </w:pPr>
            <w:r w:rsidRPr="00C342A7">
              <w:rPr>
                <w:noProof/>
                <w:lang w:val="en-US"/>
              </w:rPr>
              <w:drawing>
                <wp:inline distT="0" distB="0" distL="0" distR="0" wp14:anchorId="1D9D6FFD" wp14:editId="1D9D6FFE">
                  <wp:extent cx="5943600" cy="2747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3600" cy="2747645"/>
                          </a:xfrm>
                          <a:prstGeom prst="rect">
                            <a:avLst/>
                          </a:prstGeom>
                        </pic:spPr>
                      </pic:pic>
                    </a:graphicData>
                  </a:graphic>
                </wp:inline>
              </w:drawing>
            </w:r>
          </w:p>
        </w:tc>
      </w:tr>
    </w:tbl>
    <w:p w14:paraId="1D9D6F7F" w14:textId="77777777" w:rsidR="00BF7FEF" w:rsidRPr="00C342A7" w:rsidRDefault="00BF7FEF">
      <w:pPr>
        <w:rPr>
          <w:rFonts w:ascii="Times New Roman" w:hAnsi="Times New Roman" w:cs="Times New Roman"/>
          <w:lang w:val="en-US"/>
        </w:rPr>
      </w:pPr>
    </w:p>
    <w:tbl>
      <w:tblPr>
        <w:tblStyle w:val="TableGrid"/>
        <w:tblW w:w="0" w:type="auto"/>
        <w:tblLook w:val="04A0" w:firstRow="1" w:lastRow="0" w:firstColumn="1" w:lastColumn="0" w:noHBand="0" w:noVBand="1"/>
      </w:tblPr>
      <w:tblGrid>
        <w:gridCol w:w="4392"/>
        <w:gridCol w:w="4392"/>
        <w:gridCol w:w="4392"/>
      </w:tblGrid>
      <w:tr w:rsidR="00416D04" w:rsidRPr="00C342A7" w14:paraId="1D9D6F81" w14:textId="77777777" w:rsidTr="00BB3820">
        <w:tc>
          <w:tcPr>
            <w:tcW w:w="13176" w:type="dxa"/>
            <w:gridSpan w:val="3"/>
            <w:shd w:val="clear" w:color="auto" w:fill="C2D69B" w:themeFill="accent3" w:themeFillTint="99"/>
          </w:tcPr>
          <w:p w14:paraId="1D9D6F80" w14:textId="77777777" w:rsidR="00416D04" w:rsidRPr="00C342A7" w:rsidRDefault="00416D04">
            <w:pPr>
              <w:rPr>
                <w:rFonts w:ascii="Times New Roman" w:hAnsi="Times New Roman" w:cs="Times New Roman"/>
                <w:b/>
                <w:color w:val="FFFFFF" w:themeColor="background1"/>
                <w:lang w:val="en-US"/>
              </w:rPr>
            </w:pPr>
            <w:r w:rsidRPr="00C342A7">
              <w:rPr>
                <w:rFonts w:ascii="Times New Roman" w:hAnsi="Times New Roman"/>
                <w:b/>
                <w:color w:val="FFFFFF" w:themeColor="background1"/>
                <w:lang w:val="en-US"/>
              </w:rPr>
              <w:t>CURRENT CHARACTERISTICS OF THE PLOT</w:t>
            </w:r>
          </w:p>
        </w:tc>
      </w:tr>
      <w:tr w:rsidR="00416D04" w:rsidRPr="00C342A7" w14:paraId="1D9D6F95" w14:textId="77777777" w:rsidTr="00283588">
        <w:tc>
          <w:tcPr>
            <w:tcW w:w="4392" w:type="dxa"/>
          </w:tcPr>
          <w:p w14:paraId="1D9D6F82" w14:textId="77777777" w:rsidR="00416D04" w:rsidRPr="00C342A7" w:rsidRDefault="00416D04" w:rsidP="00416D04">
            <w:pPr>
              <w:rPr>
                <w:rFonts w:ascii="Times New Roman" w:hAnsi="Times New Roman" w:cs="Times New Roman"/>
                <w:lang w:val="en-US"/>
              </w:rPr>
            </w:pPr>
          </w:p>
        </w:tc>
        <w:tc>
          <w:tcPr>
            <w:tcW w:w="4392" w:type="dxa"/>
          </w:tcPr>
          <w:p w14:paraId="1D9D6F83" w14:textId="77777777" w:rsidR="00101412" w:rsidRPr="00C342A7" w:rsidRDefault="00416D04" w:rsidP="00416D04">
            <w:pPr>
              <w:jc w:val="both"/>
              <w:rPr>
                <w:rFonts w:ascii="Times New Roman" w:hAnsi="Times New Roman" w:cs="Times New Roman"/>
                <w:lang w:val="en-US"/>
              </w:rPr>
            </w:pPr>
            <w:r w:rsidRPr="00C342A7">
              <w:rPr>
                <w:rFonts w:ascii="Times New Roman" w:hAnsi="Times New Roman"/>
                <w:lang w:val="en-US"/>
              </w:rPr>
              <w:t>The limit of the plot related to the University House</w:t>
            </w:r>
          </w:p>
          <w:p w14:paraId="1D9D6F84"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Study area limit</w:t>
            </w:r>
          </w:p>
          <w:p w14:paraId="1D9D6F85" w14:textId="77777777" w:rsidR="00101412" w:rsidRPr="00C342A7" w:rsidRDefault="00416D04" w:rsidP="00416D04">
            <w:pPr>
              <w:jc w:val="both"/>
              <w:rPr>
                <w:rFonts w:ascii="Times New Roman" w:hAnsi="Times New Roman" w:cs="Times New Roman"/>
                <w:lang w:val="en-US"/>
              </w:rPr>
            </w:pPr>
            <w:r w:rsidRPr="00C342A7">
              <w:rPr>
                <w:rFonts w:ascii="Times New Roman" w:hAnsi="Times New Roman"/>
                <w:lang w:val="en-US"/>
              </w:rPr>
              <w:t>Parcel list that appeared between 1846-1911, maintained until today</w:t>
            </w:r>
          </w:p>
          <w:p w14:paraId="1D9D6F86"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lastRenderedPageBreak/>
              <w:t>Parcel list that appeared between 1911-1974, maintained until now. Parcel list appeared between 1991-2023</w:t>
            </w:r>
          </w:p>
          <w:p w14:paraId="1D9D6F87"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Plots with atypical morphology (high surface, large openings, to several traffic arteries) or atypical layout within the urban structure - correlated with public functions. Plot specific to the central historic area: organically developed historical structure.</w:t>
            </w:r>
          </w:p>
          <w:p w14:paraId="1D9D6F88"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 xml:space="preserve"> Fragments of urban structure detailed within the analysis of current characteristics due to direct interaction with the studied plot.</w:t>
            </w:r>
          </w:p>
          <w:p w14:paraId="1D9D6F89"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The fragment of urban structure analyzed coagulated in its current form in the second half of the 19th century and at the beginning of the 20th century. The plots with a specifically agricultural conformation, with small openings and large depths predominate: the ratio between opening and depth is predominantly 1/4 or 1/3. Despite the proportions, the dimensions of the plots are specific to a central urban area: most of the island (approx. 40%) is occupied by plots with areas of over 1000 sq m; the openings of the plots towards the street are between 11 m (the minimum opening identified) and 36 m (the maximum opening identified).</w:t>
            </w:r>
          </w:p>
          <w:p w14:paraId="1D9D6F8A"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 xml:space="preserve">The current shape of the plot of the University House first appears on the Map of Bucharest, drawn up by the Geographical Institute of the Army between 1895 and 1899. It is the result of consecutive annexation interventions between 1846 and 1899. The analysis of historical plans shows that the urban structure of which the plot is part dates back to before the end of the 18th century (1791 - Ernst Plan), having until the end of the 19th century a mixed character, of plots dedicated to housing </w:t>
            </w:r>
            <w:r w:rsidRPr="00C342A7">
              <w:rPr>
                <w:rFonts w:ascii="Times New Roman" w:hAnsi="Times New Roman"/>
                <w:lang w:val="en-US"/>
              </w:rPr>
              <w:lastRenderedPageBreak/>
              <w:t>and agricultural plots, hence the shape of the plot and its use: the buildings are arranged in the front part, and the garden in the back part.</w:t>
            </w:r>
          </w:p>
          <w:p w14:paraId="1D9D6F8B" w14:textId="77777777" w:rsidR="00416D04" w:rsidRPr="00C342A7" w:rsidRDefault="00416D04" w:rsidP="00101412">
            <w:pPr>
              <w:jc w:val="both"/>
              <w:rPr>
                <w:rFonts w:ascii="Times New Roman" w:hAnsi="Times New Roman" w:cs="Times New Roman"/>
                <w:lang w:val="en-US"/>
              </w:rPr>
            </w:pPr>
            <w:r w:rsidRPr="00C342A7">
              <w:rPr>
                <w:rFonts w:ascii="Times New Roman" w:hAnsi="Times New Roman"/>
                <w:lang w:val="en-US"/>
              </w:rPr>
              <w:t>The University House plot is one of the atypical plots in the studied area, due to its wide openings, on three streets, and its elevated surface area, of 14,555 sq m (1.45 ha). Like the other atypical plots, which exceed the surface area of 10,000 sq m (</w:t>
            </w:r>
            <w:proofErr w:type="spellStart"/>
            <w:r w:rsidRPr="00C342A7">
              <w:rPr>
                <w:rFonts w:ascii="Times New Roman" w:hAnsi="Times New Roman"/>
                <w:lang w:val="en-US"/>
              </w:rPr>
              <w:t>Ico</w:t>
            </w:r>
            <w:r w:rsidR="00C342A7">
              <w:rPr>
                <w:rFonts w:ascii="Times New Roman" w:hAnsi="Times New Roman"/>
                <w:lang w:val="en-US"/>
              </w:rPr>
              <w:t>a</w:t>
            </w:r>
            <w:r w:rsidRPr="00C342A7">
              <w:rPr>
                <w:rFonts w:ascii="Times New Roman" w:hAnsi="Times New Roman"/>
                <w:lang w:val="en-US"/>
              </w:rPr>
              <w:t>nei</w:t>
            </w:r>
            <w:proofErr w:type="spellEnd"/>
            <w:r w:rsidRPr="00C342A7">
              <w:rPr>
                <w:rFonts w:ascii="Times New Roman" w:hAnsi="Times New Roman"/>
                <w:lang w:val="en-US"/>
              </w:rPr>
              <w:t xml:space="preserve"> Garden and Central School), this one also hosts a public or semi-public function, dedicated to education. The opening on Dionisie Lupu Street is approximately 70 m, the one on Pictor Arthur Verona Street (which coincides with the depth of the plot) is approximately 180 m, and the one on Jean Louis Calderon Street is approximately 60 m. The ratio between the opening and the depth of the plot is 1/3, specific to the plot of the </w:t>
            </w:r>
            <w:proofErr w:type="spellStart"/>
            <w:r w:rsidRPr="00C342A7">
              <w:rPr>
                <w:rFonts w:ascii="Times New Roman" w:hAnsi="Times New Roman"/>
                <w:lang w:val="en-US"/>
              </w:rPr>
              <w:t>Icoanei-Ioanid</w:t>
            </w:r>
            <w:proofErr w:type="spellEnd"/>
            <w:r w:rsidRPr="00C342A7">
              <w:rPr>
                <w:rFonts w:ascii="Times New Roman" w:hAnsi="Times New Roman"/>
                <w:lang w:val="en-US"/>
              </w:rPr>
              <w:t xml:space="preserve"> area.</w:t>
            </w:r>
          </w:p>
        </w:tc>
        <w:tc>
          <w:tcPr>
            <w:tcW w:w="4392" w:type="dxa"/>
          </w:tcPr>
          <w:p w14:paraId="1D9D6F8C" w14:textId="77777777" w:rsidR="00AD59FA" w:rsidRPr="00C342A7" w:rsidRDefault="00AD59FA" w:rsidP="00416D04">
            <w:pPr>
              <w:jc w:val="both"/>
              <w:rPr>
                <w:rFonts w:ascii="Times New Roman" w:hAnsi="Times New Roman" w:cs="Times New Roman"/>
                <w:lang w:val="en-US"/>
              </w:rPr>
            </w:pPr>
            <w:r w:rsidRPr="00C342A7">
              <w:rPr>
                <w:rFonts w:ascii="Times New Roman" w:hAnsi="Times New Roman"/>
                <w:lang w:val="en-US"/>
              </w:rPr>
              <w:lastRenderedPageBreak/>
              <w:t>Area between 100-499 sq m</w:t>
            </w:r>
          </w:p>
          <w:p w14:paraId="1D9D6F8D" w14:textId="77777777" w:rsidR="00C342A7" w:rsidRDefault="00416D04" w:rsidP="00416D04">
            <w:pPr>
              <w:jc w:val="both"/>
              <w:rPr>
                <w:rFonts w:ascii="Times New Roman" w:hAnsi="Times New Roman"/>
                <w:lang w:val="en-US"/>
              </w:rPr>
            </w:pPr>
            <w:r w:rsidRPr="00C342A7">
              <w:rPr>
                <w:rFonts w:ascii="Times New Roman" w:hAnsi="Times New Roman"/>
                <w:lang w:val="en-US"/>
              </w:rPr>
              <w:t>Area between 500-999 sq m</w:t>
            </w:r>
          </w:p>
          <w:p w14:paraId="1D9D6F8E" w14:textId="77777777" w:rsidR="00AD59FA" w:rsidRPr="00C342A7" w:rsidRDefault="00416D04" w:rsidP="00416D04">
            <w:pPr>
              <w:jc w:val="both"/>
              <w:rPr>
                <w:rFonts w:ascii="Times New Roman" w:hAnsi="Times New Roman" w:cs="Times New Roman"/>
                <w:lang w:val="en-US"/>
              </w:rPr>
            </w:pPr>
            <w:r w:rsidRPr="00C342A7">
              <w:rPr>
                <w:rFonts w:ascii="Times New Roman" w:hAnsi="Times New Roman"/>
                <w:lang w:val="en-US"/>
              </w:rPr>
              <w:t>Area over 1,000 sq m</w:t>
            </w:r>
          </w:p>
          <w:p w14:paraId="1D9D6F8F" w14:textId="77777777" w:rsidR="00AD59FA" w:rsidRPr="00C342A7" w:rsidRDefault="00416D04" w:rsidP="00416D04">
            <w:pPr>
              <w:jc w:val="both"/>
              <w:rPr>
                <w:rFonts w:ascii="Times New Roman" w:hAnsi="Times New Roman" w:cs="Times New Roman"/>
                <w:lang w:val="en-US"/>
              </w:rPr>
            </w:pPr>
            <w:r w:rsidRPr="00C342A7">
              <w:rPr>
                <w:rFonts w:ascii="Times New Roman" w:hAnsi="Times New Roman"/>
                <w:lang w:val="en-US"/>
              </w:rPr>
              <w:t>Plot with minimum and maximum opening</w:t>
            </w:r>
          </w:p>
          <w:p w14:paraId="1D9D6F90"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Street network outlined before 1846</w:t>
            </w:r>
          </w:p>
          <w:p w14:paraId="1D9D6F91" w14:textId="77777777" w:rsidR="00416D04" w:rsidRPr="00C342A7" w:rsidRDefault="00416D04" w:rsidP="00416D04">
            <w:pPr>
              <w:jc w:val="both"/>
              <w:rPr>
                <w:rFonts w:ascii="Times New Roman" w:hAnsi="Times New Roman" w:cs="Times New Roman"/>
                <w:lang w:val="en-US"/>
              </w:rPr>
            </w:pPr>
          </w:p>
          <w:p w14:paraId="1D9D6F92"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The morpho-typological analysis shows that most plots are obtained through joining or dividing interventions, and the ratio between the opening and depth of the plots varies in this case depending on the traffic artery:</w:t>
            </w:r>
          </w:p>
          <w:p w14:paraId="1D9D6F93" w14:textId="77777777" w:rsidR="00416D04" w:rsidRPr="00C342A7" w:rsidRDefault="00416D04" w:rsidP="00416D04">
            <w:pPr>
              <w:jc w:val="both"/>
              <w:rPr>
                <w:rFonts w:ascii="Times New Roman" w:hAnsi="Times New Roman" w:cs="Times New Roman"/>
                <w:lang w:val="en-US"/>
              </w:rPr>
            </w:pPr>
          </w:p>
          <w:p w14:paraId="1D9D6F94" w14:textId="77777777" w:rsidR="00416D04" w:rsidRPr="00C342A7" w:rsidRDefault="00C342A7" w:rsidP="00AD59FA">
            <w:pPr>
              <w:jc w:val="both"/>
              <w:rPr>
                <w:rFonts w:ascii="Times New Roman" w:hAnsi="Times New Roman" w:cs="Times New Roman"/>
                <w:lang w:val="en-US"/>
              </w:rPr>
            </w:pPr>
            <w:r>
              <w:rPr>
                <w:rFonts w:ascii="Times New Roman" w:hAnsi="Times New Roman"/>
                <w:lang w:val="en-US"/>
              </w:rPr>
              <w:t xml:space="preserve">• on C.A. </w:t>
            </w:r>
            <w:r w:rsidR="00416D04" w:rsidRPr="00C342A7">
              <w:rPr>
                <w:rFonts w:ascii="Times New Roman" w:hAnsi="Times New Roman"/>
                <w:lang w:val="en-US"/>
              </w:rPr>
              <w:t>Rosetti (northern side) and Jean Louis Calderon (western side) streets, the ratio is in the range of 1/3 or 1/4, with plots with great depths, up to 100 m and openings between 11 m and 36 m.</w:t>
            </w:r>
          </w:p>
        </w:tc>
      </w:tr>
      <w:tr w:rsidR="00416D04" w:rsidRPr="00C342A7" w14:paraId="1D9D6F98" w14:textId="77777777" w:rsidTr="00416D04">
        <w:tc>
          <w:tcPr>
            <w:tcW w:w="8784" w:type="dxa"/>
            <w:gridSpan w:val="2"/>
            <w:shd w:val="clear" w:color="auto" w:fill="C2D69B" w:themeFill="accent3" w:themeFillTint="99"/>
          </w:tcPr>
          <w:p w14:paraId="1D9D6F96" w14:textId="77777777" w:rsidR="00416D04" w:rsidRPr="00C342A7" w:rsidRDefault="00416D04" w:rsidP="00416D04">
            <w:pPr>
              <w:jc w:val="both"/>
              <w:rPr>
                <w:rFonts w:ascii="Times New Roman" w:hAnsi="Times New Roman" w:cs="Times New Roman"/>
                <w:b/>
                <w:color w:val="FFFFFF" w:themeColor="background1"/>
                <w:lang w:val="en-US"/>
              </w:rPr>
            </w:pPr>
            <w:r w:rsidRPr="00C342A7">
              <w:rPr>
                <w:rFonts w:ascii="Times New Roman" w:hAnsi="Times New Roman"/>
                <w:b/>
                <w:color w:val="FFFFFF" w:themeColor="background1"/>
                <w:lang w:val="en-US"/>
              </w:rPr>
              <w:lastRenderedPageBreak/>
              <w:t>CURRENT CHARACTERISTICS OF THE STREET NETWORK</w:t>
            </w:r>
          </w:p>
        </w:tc>
        <w:tc>
          <w:tcPr>
            <w:tcW w:w="4392" w:type="dxa"/>
            <w:shd w:val="clear" w:color="auto" w:fill="C2D69B" w:themeFill="accent3" w:themeFillTint="99"/>
          </w:tcPr>
          <w:p w14:paraId="1D9D6F97" w14:textId="77777777" w:rsidR="00416D04" w:rsidRPr="00C342A7" w:rsidRDefault="00416D04" w:rsidP="00416D04">
            <w:pPr>
              <w:jc w:val="both"/>
              <w:rPr>
                <w:rFonts w:ascii="Times New Roman" w:hAnsi="Times New Roman" w:cs="Times New Roman"/>
                <w:b/>
                <w:color w:val="FFFFFF" w:themeColor="background1"/>
                <w:lang w:val="en-US"/>
              </w:rPr>
            </w:pPr>
            <w:r w:rsidRPr="00C342A7">
              <w:rPr>
                <w:rFonts w:ascii="Times New Roman" w:hAnsi="Times New Roman"/>
                <w:b/>
                <w:color w:val="FFFFFF" w:themeColor="background1"/>
                <w:lang w:val="en-US"/>
              </w:rPr>
              <w:t>CURRENT CHARACTERISTICS OF THE BUILT FUND</w:t>
            </w:r>
          </w:p>
        </w:tc>
      </w:tr>
      <w:tr w:rsidR="00416D04" w:rsidRPr="00C342A7" w14:paraId="1D9D6FA5" w14:textId="77777777" w:rsidTr="00283588">
        <w:tc>
          <w:tcPr>
            <w:tcW w:w="4392" w:type="dxa"/>
          </w:tcPr>
          <w:p w14:paraId="1D9D6F99" w14:textId="77777777" w:rsidR="00416D04" w:rsidRPr="00C342A7" w:rsidRDefault="00416D04" w:rsidP="00416D04">
            <w:pPr>
              <w:rPr>
                <w:rFonts w:ascii="Times New Roman" w:hAnsi="Times New Roman" w:cs="Times New Roman"/>
                <w:lang w:val="en-US"/>
              </w:rPr>
            </w:pPr>
          </w:p>
        </w:tc>
        <w:tc>
          <w:tcPr>
            <w:tcW w:w="4392" w:type="dxa"/>
          </w:tcPr>
          <w:p w14:paraId="1D9D6F9A" w14:textId="77777777" w:rsidR="00101412" w:rsidRPr="00C342A7" w:rsidRDefault="00416D04" w:rsidP="00416D04">
            <w:pPr>
              <w:jc w:val="both"/>
              <w:rPr>
                <w:rFonts w:ascii="Times New Roman" w:hAnsi="Times New Roman" w:cs="Times New Roman"/>
                <w:lang w:val="en-US"/>
              </w:rPr>
            </w:pPr>
            <w:r w:rsidRPr="00C342A7">
              <w:rPr>
                <w:rFonts w:ascii="Times New Roman" w:hAnsi="Times New Roman"/>
                <w:lang w:val="en-US"/>
              </w:rPr>
              <w:t>The limit of the plot related to the University House</w:t>
            </w:r>
          </w:p>
          <w:p w14:paraId="1D9D6F9B"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Study area limit</w:t>
            </w:r>
          </w:p>
          <w:p w14:paraId="1D9D6F9C"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Traffic arteries that appeared before 1846, whose main route was maintained even after street layout adjustments, until now (2023)</w:t>
            </w:r>
          </w:p>
          <w:p w14:paraId="1D9D6F9D"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Traffic arteries appeared in the period 1846-1911, through the systematization of the area and the reconfiguration of the street network</w:t>
            </w:r>
          </w:p>
          <w:p w14:paraId="1D9D6F9E" w14:textId="77777777" w:rsidR="00101412" w:rsidRPr="00C342A7" w:rsidRDefault="00416D04" w:rsidP="00416D04">
            <w:pPr>
              <w:jc w:val="both"/>
              <w:rPr>
                <w:rFonts w:ascii="Times New Roman" w:hAnsi="Times New Roman" w:cs="Times New Roman"/>
                <w:lang w:val="en-US"/>
              </w:rPr>
            </w:pPr>
            <w:r w:rsidRPr="00C342A7">
              <w:rPr>
                <w:rFonts w:ascii="Times New Roman" w:hAnsi="Times New Roman"/>
                <w:lang w:val="en-US"/>
              </w:rPr>
              <w:t>Historical route: connection between the central area and the northern exit points of Bucharest (</w:t>
            </w:r>
            <w:proofErr w:type="spellStart"/>
            <w:r w:rsidRPr="00C342A7">
              <w:rPr>
                <w:rFonts w:ascii="Times New Roman" w:hAnsi="Times New Roman"/>
                <w:i/>
                <w:iCs/>
                <w:lang w:val="en-US"/>
              </w:rPr>
              <w:t>Herastrau</w:t>
            </w:r>
            <w:proofErr w:type="spellEnd"/>
            <w:r w:rsidRPr="00C342A7">
              <w:rPr>
                <w:rFonts w:ascii="Times New Roman" w:hAnsi="Times New Roman"/>
                <w:i/>
                <w:iCs/>
                <w:lang w:val="en-US"/>
              </w:rPr>
              <w:t xml:space="preserve"> Barrier</w:t>
            </w:r>
            <w:r w:rsidRPr="00C342A7">
              <w:rPr>
                <w:rFonts w:ascii="Times New Roman" w:hAnsi="Times New Roman"/>
                <w:lang w:val="en-US"/>
              </w:rPr>
              <w:t xml:space="preserve">), according to the Map of Major </w:t>
            </w:r>
            <w:proofErr w:type="spellStart"/>
            <w:r w:rsidRPr="00C342A7">
              <w:rPr>
                <w:rFonts w:ascii="Times New Roman" w:hAnsi="Times New Roman"/>
                <w:lang w:val="en-US"/>
              </w:rPr>
              <w:t>Borroczyn</w:t>
            </w:r>
            <w:proofErr w:type="spellEnd"/>
            <w:r w:rsidRPr="00C342A7">
              <w:rPr>
                <w:rFonts w:ascii="Times New Roman" w:hAnsi="Times New Roman"/>
                <w:lang w:val="en-US"/>
              </w:rPr>
              <w:t>, 1846</w:t>
            </w:r>
          </w:p>
          <w:p w14:paraId="1D9D6F9F"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 xml:space="preserve">Public space formed during the period 1846-1911, through the actions of systematization of the area and the construction of public use </w:t>
            </w:r>
            <w:r w:rsidRPr="00C342A7">
              <w:rPr>
                <w:rFonts w:ascii="Times New Roman" w:hAnsi="Times New Roman"/>
                <w:lang w:val="en-US"/>
              </w:rPr>
              <w:lastRenderedPageBreak/>
              <w:t xml:space="preserve">objectives - </w:t>
            </w:r>
            <w:proofErr w:type="spellStart"/>
            <w:r w:rsidRPr="00C342A7">
              <w:rPr>
                <w:rFonts w:ascii="Times New Roman" w:hAnsi="Times New Roman"/>
                <w:lang w:val="en-US"/>
              </w:rPr>
              <w:t>Icoanei</w:t>
            </w:r>
            <w:proofErr w:type="spellEnd"/>
            <w:r w:rsidRPr="00C342A7">
              <w:rPr>
                <w:rFonts w:ascii="Times New Roman" w:hAnsi="Times New Roman"/>
                <w:lang w:val="en-US"/>
              </w:rPr>
              <w:t xml:space="preserve"> Garden (LMI 2015 code: B-II-a-B-18301). Anglican Church (LMI 2015 code: B-II-m-A-19833)</w:t>
            </w:r>
          </w:p>
          <w:p w14:paraId="1D9D6FA0"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Public space intended mainly for pedestrian traffic.</w:t>
            </w:r>
          </w:p>
          <w:p w14:paraId="1D9D6FA1"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 xml:space="preserve">The street network in the studied area is the result of urban systematization and reconfiguration actions carried out in the second half of the 19th century and at the beginning of the 20th century, following pre-existing routes from 1846. </w:t>
            </w:r>
            <w:r w:rsidRPr="00C342A7">
              <w:rPr>
                <w:rFonts w:ascii="Times New Roman" w:hAnsi="Times New Roman"/>
                <w:b/>
                <w:bCs/>
                <w:lang w:val="en-US"/>
              </w:rPr>
              <w:t>The current traffic arteries coincide with those existing at the beginning of the 20th century</w:t>
            </w:r>
            <w:r w:rsidRPr="00C342A7">
              <w:rPr>
                <w:rFonts w:ascii="Times New Roman" w:hAnsi="Times New Roman"/>
                <w:lang w:val="en-US"/>
              </w:rPr>
              <w:t>, according to the Bucharest Plan drawn up by the Military Directorate in 1911. According to the analysis of the evolution of the urban structure (</w:t>
            </w:r>
            <w:r w:rsidRPr="00C342A7">
              <w:rPr>
                <w:rFonts w:ascii="Times New Roman" w:hAnsi="Times New Roman"/>
                <w:i/>
                <w:iCs/>
                <w:lang w:val="en-US"/>
              </w:rPr>
              <w:t>see Sheets no. 1.2-1.4</w:t>
            </w:r>
            <w:r w:rsidRPr="00C342A7">
              <w:rPr>
                <w:rFonts w:ascii="Times New Roman" w:hAnsi="Times New Roman"/>
                <w:lang w:val="en-US"/>
              </w:rPr>
              <w:t>), during the period 1911-2023, they underwent minor changes, such as alignment rectifications, street prospectus or pedestrian circulation.</w:t>
            </w:r>
          </w:p>
          <w:p w14:paraId="1D9D6FA2"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 xml:space="preserve">Access to the University House plot is from </w:t>
            </w:r>
            <w:r w:rsidRPr="00C342A7">
              <w:rPr>
                <w:rFonts w:ascii="Times New Roman" w:hAnsi="Times New Roman"/>
                <w:b/>
                <w:bCs/>
                <w:lang w:val="en-US"/>
              </w:rPr>
              <w:t>Dionisie Lupu Street</w:t>
            </w:r>
            <w:r w:rsidRPr="00C342A7">
              <w:rPr>
                <w:rFonts w:ascii="Times New Roman" w:hAnsi="Times New Roman"/>
                <w:lang w:val="en-US"/>
              </w:rPr>
              <w:t xml:space="preserve">, a collector street whose route connects Al. Lahovary Square and Dacia Boulevard (to the north) with C.A. Rosetti Square (to the south). The street profile has not undergone significant changes over time, currently having a street prospect of 9.00 m, with a 7.00 m roadway (one lane of traffic and parking lots on either side of the street axis) and 1.00 m sidewalks on both sides.    The eastern side of the plot is located at </w:t>
            </w:r>
            <w:r w:rsidRPr="00C342A7">
              <w:rPr>
                <w:rFonts w:ascii="Times New Roman" w:hAnsi="Times New Roman"/>
                <w:b/>
                <w:bCs/>
                <w:lang w:val="en-US"/>
              </w:rPr>
              <w:t>Jean Louis Calderon Street</w:t>
            </w:r>
            <w:r w:rsidRPr="00C342A7">
              <w:rPr>
                <w:rFonts w:ascii="Times New Roman" w:hAnsi="Times New Roman"/>
                <w:lang w:val="en-US"/>
              </w:rPr>
              <w:t>, a north-south route that has two lanes of traffic, with parking spaces on the western side and 1.00 m sidewalks on each side, the total street prospect being constant, of 9.00 m.</w:t>
            </w:r>
          </w:p>
          <w:p w14:paraId="1D9D6FA3"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 xml:space="preserve">On the northern side of the plot, from west to east, the pedestrian space serving the Anglican </w:t>
            </w:r>
            <w:r w:rsidRPr="00C342A7">
              <w:rPr>
                <w:rFonts w:ascii="Times New Roman" w:hAnsi="Times New Roman"/>
                <w:lang w:val="en-US"/>
              </w:rPr>
              <w:lastRenderedPageBreak/>
              <w:t xml:space="preserve">Church, Pictor Arthur Verona Street, with a total prospect of 11.00 m. and the southwest access to the </w:t>
            </w:r>
            <w:proofErr w:type="spellStart"/>
            <w:r w:rsidRPr="00C342A7">
              <w:rPr>
                <w:rFonts w:ascii="Times New Roman" w:hAnsi="Times New Roman"/>
                <w:lang w:val="en-US"/>
              </w:rPr>
              <w:t>Icoanei</w:t>
            </w:r>
            <w:proofErr w:type="spellEnd"/>
            <w:r w:rsidRPr="00C342A7">
              <w:rPr>
                <w:rFonts w:ascii="Times New Roman" w:hAnsi="Times New Roman"/>
                <w:lang w:val="en-US"/>
              </w:rPr>
              <w:t xml:space="preserve"> Garden, at the intersection with </w:t>
            </w:r>
            <w:proofErr w:type="spellStart"/>
            <w:r w:rsidRPr="00C342A7">
              <w:rPr>
                <w:rFonts w:ascii="Times New Roman" w:hAnsi="Times New Roman"/>
                <w:lang w:val="en-US"/>
              </w:rPr>
              <w:t>Icoanei</w:t>
            </w:r>
            <w:proofErr w:type="spellEnd"/>
            <w:r w:rsidRPr="00C342A7">
              <w:rPr>
                <w:rFonts w:ascii="Times New Roman" w:hAnsi="Times New Roman"/>
                <w:lang w:val="en-US"/>
              </w:rPr>
              <w:t xml:space="preserve"> Street, Jean Louis Calderon and I.L. </w:t>
            </w:r>
            <w:proofErr w:type="spellStart"/>
            <w:r w:rsidRPr="00C342A7">
              <w:rPr>
                <w:rFonts w:ascii="Times New Roman" w:hAnsi="Times New Roman"/>
                <w:lang w:val="en-US"/>
              </w:rPr>
              <w:t>Caragiale</w:t>
            </w:r>
            <w:proofErr w:type="spellEnd"/>
            <w:r w:rsidRPr="00C342A7">
              <w:rPr>
                <w:rFonts w:ascii="Times New Roman" w:hAnsi="Times New Roman"/>
                <w:lang w:val="en-US"/>
              </w:rPr>
              <w:t xml:space="preserve">.  </w:t>
            </w:r>
          </w:p>
        </w:tc>
        <w:tc>
          <w:tcPr>
            <w:tcW w:w="4392" w:type="dxa"/>
          </w:tcPr>
          <w:p w14:paraId="1D9D6FA4" w14:textId="77777777" w:rsidR="00416D04" w:rsidRPr="00C342A7" w:rsidRDefault="00416D04" w:rsidP="00416D04">
            <w:pPr>
              <w:jc w:val="both"/>
              <w:rPr>
                <w:rFonts w:ascii="Times New Roman" w:hAnsi="Times New Roman" w:cs="Times New Roman"/>
                <w:lang w:val="en-US"/>
              </w:rPr>
            </w:pPr>
          </w:p>
        </w:tc>
      </w:tr>
    </w:tbl>
    <w:p w14:paraId="1D9D6FA6" w14:textId="77777777" w:rsidR="00BF7FEF" w:rsidRPr="00C342A7" w:rsidRDefault="00BF7FEF">
      <w:pPr>
        <w:rPr>
          <w:rFonts w:ascii="Times New Roman" w:hAnsi="Times New Roman" w:cs="Times New Roman"/>
          <w:lang w:val="en-US"/>
        </w:rPr>
      </w:pPr>
    </w:p>
    <w:p w14:paraId="1D9D6FA7" w14:textId="77777777" w:rsidR="00BF7FEF" w:rsidRPr="00C342A7" w:rsidRDefault="00BF7FEF">
      <w:pPr>
        <w:rPr>
          <w:rFonts w:ascii="Times New Roman" w:hAnsi="Times New Roman" w:cs="Times New Roman"/>
          <w:lang w:val="en-US"/>
        </w:rPr>
      </w:pPr>
    </w:p>
    <w:tbl>
      <w:tblPr>
        <w:tblStyle w:val="TableGrid"/>
        <w:tblW w:w="0" w:type="auto"/>
        <w:tblLook w:val="04A0" w:firstRow="1" w:lastRow="0" w:firstColumn="1" w:lastColumn="0" w:noHBand="0" w:noVBand="1"/>
      </w:tblPr>
      <w:tblGrid>
        <w:gridCol w:w="6588"/>
        <w:gridCol w:w="6588"/>
      </w:tblGrid>
      <w:tr w:rsidR="00416D04" w:rsidRPr="00C342A7" w14:paraId="1D9D6FB1" w14:textId="77777777" w:rsidTr="00416D04">
        <w:tc>
          <w:tcPr>
            <w:tcW w:w="6588" w:type="dxa"/>
          </w:tcPr>
          <w:p w14:paraId="1D9D6FA8" w14:textId="77777777" w:rsidR="00416D04" w:rsidRPr="00C342A7" w:rsidRDefault="00101412" w:rsidP="00416D04">
            <w:pPr>
              <w:jc w:val="both"/>
              <w:rPr>
                <w:rFonts w:ascii="Times New Roman" w:hAnsi="Times New Roman" w:cs="Times New Roman"/>
                <w:lang w:val="en-US"/>
              </w:rPr>
            </w:pPr>
            <w:r w:rsidRPr="00C342A7">
              <w:rPr>
                <w:rFonts w:ascii="Times New Roman" w:hAnsi="Times New Roman"/>
                <w:lang w:val="en-US"/>
              </w:rPr>
              <w:t>• on Dionisie Lupu and Jean Louis Calderon streets (east side), the ratio is greater than 1/2. Some of the plots are even square in shape (ratio of 1/1), with openings between 10 m and 50 m;</w:t>
            </w:r>
          </w:p>
          <w:p w14:paraId="1D9D6FA9" w14:textId="77777777" w:rsidR="00416D04" w:rsidRPr="00C342A7" w:rsidRDefault="00416D04" w:rsidP="002A6ABA">
            <w:pPr>
              <w:jc w:val="both"/>
              <w:rPr>
                <w:rFonts w:ascii="Times New Roman" w:hAnsi="Times New Roman" w:cs="Times New Roman"/>
                <w:lang w:val="en-US"/>
              </w:rPr>
            </w:pPr>
            <w:r w:rsidRPr="00C342A7">
              <w:rPr>
                <w:rFonts w:ascii="Times New Roman" w:hAnsi="Times New Roman"/>
                <w:lang w:val="en-US"/>
              </w:rPr>
              <w:t xml:space="preserve">• plots that represent public utility objectives are exceptions (University House, </w:t>
            </w:r>
            <w:proofErr w:type="spellStart"/>
            <w:r w:rsidRPr="00C342A7">
              <w:rPr>
                <w:rFonts w:ascii="Times New Roman" w:hAnsi="Times New Roman"/>
                <w:lang w:val="en-US"/>
              </w:rPr>
              <w:t>Icoanei</w:t>
            </w:r>
            <w:proofErr w:type="spellEnd"/>
            <w:r w:rsidRPr="00C342A7">
              <w:rPr>
                <w:rFonts w:ascii="Times New Roman" w:hAnsi="Times New Roman"/>
                <w:lang w:val="en-US"/>
              </w:rPr>
              <w:t xml:space="preserve"> Garden, Central School), due to their large surfaces and wide openings, on several streets, between 60 m and 180 m. </w:t>
            </w:r>
          </w:p>
        </w:tc>
        <w:tc>
          <w:tcPr>
            <w:tcW w:w="6588" w:type="dxa"/>
          </w:tcPr>
          <w:p w14:paraId="1D9D6FAA" w14:textId="77777777" w:rsidR="002A6ABA" w:rsidRPr="00C342A7" w:rsidRDefault="00416D04" w:rsidP="00416D04">
            <w:pPr>
              <w:jc w:val="both"/>
              <w:rPr>
                <w:rFonts w:ascii="Times New Roman" w:hAnsi="Times New Roman" w:cs="Times New Roman"/>
                <w:lang w:val="en-US"/>
              </w:rPr>
            </w:pPr>
            <w:r w:rsidRPr="00C342A7">
              <w:rPr>
                <w:rFonts w:ascii="Times New Roman" w:hAnsi="Times New Roman"/>
                <w:lang w:val="en-US"/>
              </w:rPr>
              <w:t>Area ranging from 100-499 sq m</w:t>
            </w:r>
          </w:p>
          <w:p w14:paraId="1D9D6FAB" w14:textId="77777777" w:rsidR="002A6ABA" w:rsidRPr="00C342A7" w:rsidRDefault="00416D04" w:rsidP="00416D04">
            <w:pPr>
              <w:jc w:val="both"/>
              <w:rPr>
                <w:rFonts w:ascii="Times New Roman" w:hAnsi="Times New Roman" w:cs="Times New Roman"/>
                <w:lang w:val="en-US"/>
              </w:rPr>
            </w:pPr>
            <w:r w:rsidRPr="00C342A7">
              <w:rPr>
                <w:rFonts w:ascii="Times New Roman" w:hAnsi="Times New Roman"/>
                <w:lang w:val="en-US"/>
              </w:rPr>
              <w:t>Area between 500-999 sq m</w:t>
            </w:r>
          </w:p>
          <w:p w14:paraId="1D9D6FAC" w14:textId="77777777" w:rsidR="002A6ABA" w:rsidRPr="00C342A7" w:rsidRDefault="00416D04" w:rsidP="00416D04">
            <w:pPr>
              <w:jc w:val="both"/>
              <w:rPr>
                <w:rFonts w:ascii="Times New Roman" w:hAnsi="Times New Roman" w:cs="Times New Roman"/>
                <w:lang w:val="en-US"/>
              </w:rPr>
            </w:pPr>
            <w:r w:rsidRPr="00C342A7">
              <w:rPr>
                <w:rFonts w:ascii="Times New Roman" w:hAnsi="Times New Roman"/>
                <w:lang w:val="en-US"/>
              </w:rPr>
              <w:t>Area between 1,000 - 9,999 sq m</w:t>
            </w:r>
          </w:p>
          <w:p w14:paraId="1D9D6FAD" w14:textId="77777777" w:rsidR="002A6ABA" w:rsidRPr="00C342A7" w:rsidRDefault="00416D04" w:rsidP="002A6ABA">
            <w:pPr>
              <w:jc w:val="both"/>
              <w:rPr>
                <w:rFonts w:ascii="Times New Roman" w:hAnsi="Times New Roman" w:cs="Times New Roman"/>
                <w:lang w:val="en-US"/>
              </w:rPr>
            </w:pPr>
            <w:r w:rsidRPr="00C342A7">
              <w:rPr>
                <w:rFonts w:ascii="Times New Roman" w:hAnsi="Times New Roman"/>
                <w:lang w:val="en-US"/>
              </w:rPr>
              <w:t>Area of over 10,000 sq m</w:t>
            </w:r>
          </w:p>
          <w:p w14:paraId="1D9D6FAE" w14:textId="77777777" w:rsidR="002A6ABA" w:rsidRPr="00C342A7" w:rsidRDefault="00416D04" w:rsidP="002A6ABA">
            <w:pPr>
              <w:jc w:val="both"/>
              <w:rPr>
                <w:rFonts w:ascii="Times New Roman" w:hAnsi="Times New Roman" w:cs="Times New Roman"/>
                <w:lang w:val="en-US"/>
              </w:rPr>
            </w:pPr>
            <w:r w:rsidRPr="00C342A7">
              <w:rPr>
                <w:rFonts w:ascii="Times New Roman" w:hAnsi="Times New Roman"/>
                <w:lang w:val="en-US"/>
              </w:rPr>
              <w:t>Atypical plot: oversized, with large openings to several traffic arteries</w:t>
            </w:r>
          </w:p>
          <w:p w14:paraId="1D9D6FAF" w14:textId="77777777" w:rsidR="002A6ABA" w:rsidRPr="00C342A7" w:rsidRDefault="00416D04" w:rsidP="002A6ABA">
            <w:pPr>
              <w:jc w:val="both"/>
              <w:rPr>
                <w:rFonts w:ascii="Times New Roman" w:hAnsi="Times New Roman" w:cs="Times New Roman"/>
                <w:lang w:val="en-US"/>
              </w:rPr>
            </w:pPr>
            <w:r w:rsidRPr="00C342A7">
              <w:rPr>
                <w:rFonts w:ascii="Times New Roman" w:hAnsi="Times New Roman"/>
                <w:lang w:val="en-US"/>
              </w:rPr>
              <w:t>Street network outlined before 1846 / between 1846 and 1911</w:t>
            </w:r>
          </w:p>
          <w:p w14:paraId="1D9D6FB0" w14:textId="77777777" w:rsidR="00416D04" w:rsidRPr="00C342A7" w:rsidRDefault="00416D04" w:rsidP="002A6ABA">
            <w:pPr>
              <w:jc w:val="both"/>
              <w:rPr>
                <w:rFonts w:ascii="Times New Roman" w:hAnsi="Times New Roman" w:cs="Times New Roman"/>
                <w:lang w:val="en-US"/>
              </w:rPr>
            </w:pPr>
            <w:r w:rsidRPr="00C342A7">
              <w:rPr>
                <w:rFonts w:ascii="Times New Roman" w:hAnsi="Times New Roman"/>
                <w:lang w:val="en-US"/>
              </w:rPr>
              <w:t>Access to the plot with public / semi-public function.</w:t>
            </w:r>
          </w:p>
        </w:tc>
      </w:tr>
      <w:tr w:rsidR="00416D04" w:rsidRPr="00C342A7" w14:paraId="1D9D6FBE" w14:textId="77777777" w:rsidTr="00416D04">
        <w:tc>
          <w:tcPr>
            <w:tcW w:w="6588" w:type="dxa"/>
          </w:tcPr>
          <w:p w14:paraId="1D9D6FB2" w14:textId="77777777" w:rsidR="002A6ABA" w:rsidRPr="00C342A7" w:rsidRDefault="00416D04" w:rsidP="00416D04">
            <w:pPr>
              <w:jc w:val="both"/>
              <w:rPr>
                <w:rFonts w:ascii="Times New Roman" w:hAnsi="Times New Roman" w:cs="Times New Roman"/>
                <w:lang w:val="en-US"/>
              </w:rPr>
            </w:pPr>
            <w:r w:rsidRPr="00C342A7">
              <w:rPr>
                <w:rFonts w:ascii="Times New Roman" w:hAnsi="Times New Roman"/>
                <w:lang w:val="en-US"/>
              </w:rPr>
              <w:t>The limit of the plot related to the University House</w:t>
            </w:r>
          </w:p>
          <w:p w14:paraId="1D9D6FB3"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Study area limit</w:t>
            </w:r>
          </w:p>
          <w:p w14:paraId="1D9D6FB4" w14:textId="77777777" w:rsidR="002A6ABA" w:rsidRPr="00C342A7" w:rsidRDefault="00416D04" w:rsidP="00416D04">
            <w:pPr>
              <w:jc w:val="both"/>
              <w:rPr>
                <w:rFonts w:ascii="Times New Roman" w:hAnsi="Times New Roman" w:cs="Times New Roman"/>
                <w:lang w:val="en-US"/>
              </w:rPr>
            </w:pPr>
            <w:r w:rsidRPr="00C342A7">
              <w:rPr>
                <w:rFonts w:ascii="Times New Roman" w:hAnsi="Times New Roman"/>
                <w:lang w:val="en-US"/>
              </w:rPr>
              <w:t>Built fund appeared between 1846 and 1911, maintained until the present</w:t>
            </w:r>
          </w:p>
          <w:p w14:paraId="1D9D6FB5" w14:textId="77777777" w:rsidR="002A6ABA" w:rsidRPr="00C342A7" w:rsidRDefault="00416D04" w:rsidP="00416D04">
            <w:pPr>
              <w:jc w:val="both"/>
              <w:rPr>
                <w:rFonts w:ascii="Times New Roman" w:hAnsi="Times New Roman" w:cs="Times New Roman"/>
                <w:lang w:val="en-US"/>
              </w:rPr>
            </w:pPr>
            <w:r w:rsidRPr="00C342A7">
              <w:rPr>
                <w:rFonts w:ascii="Times New Roman" w:hAnsi="Times New Roman"/>
                <w:lang w:val="en-US"/>
              </w:rPr>
              <w:t>Built fund appeared between 1911-1974, maintained until today</w:t>
            </w:r>
            <w:r w:rsidRPr="00C342A7">
              <w:rPr>
                <w:rFonts w:ascii="Times New Roman" w:hAnsi="Times New Roman"/>
                <w:lang w:val="en-US"/>
              </w:rPr>
              <w:br/>
              <w:t>Built fund appeared in the period 1974-1991, maintained until now</w:t>
            </w:r>
            <w:r w:rsidRPr="00C342A7">
              <w:rPr>
                <w:rFonts w:ascii="Times New Roman" w:hAnsi="Times New Roman"/>
                <w:lang w:val="en-US"/>
              </w:rPr>
              <w:br/>
              <w:t>Built fund appeared in the period 1991-2023</w:t>
            </w:r>
          </w:p>
          <w:p w14:paraId="1D9D6FB6" w14:textId="77777777" w:rsidR="002A6ABA" w:rsidRPr="00C342A7" w:rsidRDefault="00416D04" w:rsidP="00416D04">
            <w:pPr>
              <w:jc w:val="both"/>
              <w:rPr>
                <w:rFonts w:ascii="Times New Roman" w:hAnsi="Times New Roman" w:cs="Times New Roman"/>
                <w:lang w:val="en-US"/>
              </w:rPr>
            </w:pPr>
            <w:r w:rsidRPr="00C342A7">
              <w:rPr>
                <w:rFonts w:ascii="Times New Roman" w:hAnsi="Times New Roman"/>
                <w:lang w:val="en-US"/>
              </w:rPr>
              <w:t>Historical built fund (built between 1846-1974) disappeared Intersections accentuated by high height regime</w:t>
            </w:r>
          </w:p>
          <w:p w14:paraId="1D9D6FB7" w14:textId="77777777" w:rsidR="00416D04" w:rsidRPr="00C342A7" w:rsidRDefault="00416D04" w:rsidP="00416D04">
            <w:pPr>
              <w:jc w:val="both"/>
              <w:rPr>
                <w:rFonts w:ascii="Times New Roman" w:hAnsi="Times New Roman" w:cs="Times New Roman"/>
                <w:lang w:val="en-US"/>
              </w:rPr>
            </w:pPr>
            <w:r w:rsidRPr="00C342A7">
              <w:rPr>
                <w:rFonts w:ascii="Times New Roman" w:hAnsi="Times New Roman"/>
                <w:lang w:val="en-US"/>
              </w:rPr>
              <w:t>Aggressions on the urban image: height discrepancies that negatively affect the quality of living</w:t>
            </w:r>
          </w:p>
          <w:p w14:paraId="1D9D6FB8" w14:textId="77777777" w:rsidR="002A6ABA" w:rsidRPr="00C342A7" w:rsidRDefault="00416D04" w:rsidP="00416D04">
            <w:pPr>
              <w:jc w:val="both"/>
              <w:rPr>
                <w:rFonts w:ascii="Times New Roman" w:hAnsi="Times New Roman" w:cs="Times New Roman"/>
                <w:lang w:val="en-US"/>
              </w:rPr>
            </w:pPr>
            <w:r w:rsidRPr="00C342A7">
              <w:rPr>
                <w:rFonts w:ascii="Times New Roman" w:hAnsi="Times New Roman"/>
                <w:lang w:val="en-US"/>
              </w:rPr>
              <w:t>Aggressions on the urban image: buildings with oversized volumes (overall dimensions/frontal conformance)</w:t>
            </w:r>
          </w:p>
          <w:p w14:paraId="1D9D6FB9" w14:textId="77777777" w:rsidR="002A6ABA" w:rsidRPr="00C342A7" w:rsidRDefault="00416D04" w:rsidP="002A6ABA">
            <w:pPr>
              <w:jc w:val="both"/>
              <w:rPr>
                <w:rFonts w:ascii="Times New Roman" w:hAnsi="Times New Roman" w:cs="Times New Roman"/>
                <w:lang w:val="en-US"/>
              </w:rPr>
            </w:pPr>
            <w:r w:rsidRPr="00C342A7">
              <w:rPr>
                <w:rFonts w:ascii="Times New Roman" w:hAnsi="Times New Roman"/>
                <w:lang w:val="en-US"/>
              </w:rPr>
              <w:t>Aggressions on the urban image: buildings with inappropriate aesthetics (cladding new inserts with historical facades/use of inappropriate materials)</w:t>
            </w:r>
          </w:p>
          <w:p w14:paraId="1D9D6FBA" w14:textId="77777777" w:rsidR="00416D04" w:rsidRPr="00C342A7" w:rsidRDefault="002A6ABA" w:rsidP="002A6ABA">
            <w:pPr>
              <w:jc w:val="both"/>
              <w:rPr>
                <w:rFonts w:ascii="Times New Roman" w:hAnsi="Times New Roman" w:cs="Times New Roman"/>
                <w:lang w:val="en-US"/>
              </w:rPr>
            </w:pPr>
            <w:r w:rsidRPr="00C342A7">
              <w:rPr>
                <w:rFonts w:ascii="Times New Roman" w:hAnsi="Times New Roman"/>
                <w:lang w:val="en-US"/>
              </w:rPr>
              <w:t>1 Buildings classified in the List of Historical Monuments 2015</w:t>
            </w:r>
          </w:p>
        </w:tc>
        <w:tc>
          <w:tcPr>
            <w:tcW w:w="6588" w:type="dxa"/>
          </w:tcPr>
          <w:p w14:paraId="1D9D6FBB" w14:textId="77777777" w:rsidR="00101412" w:rsidRPr="00C342A7" w:rsidRDefault="00101412" w:rsidP="00101412">
            <w:pPr>
              <w:jc w:val="both"/>
              <w:rPr>
                <w:rFonts w:ascii="Times New Roman" w:hAnsi="Times New Roman" w:cs="Times New Roman"/>
                <w:lang w:val="en-US"/>
              </w:rPr>
            </w:pPr>
            <w:r w:rsidRPr="00C342A7">
              <w:rPr>
                <w:rFonts w:ascii="Times New Roman" w:hAnsi="Times New Roman"/>
                <w:lang w:val="en-US"/>
              </w:rPr>
              <w:t>The built fund is well preserved, generally maintaining its historical and stylistic qualities. A construction method specific to the area is noted, with the building located at the front of the plot and a setback from the street, dedicated to a facade garden, the main garden extending towards the rear of the plot. Currently, the built fund is dense. The garden at the end of the lot has been replaced by other constructions.</w:t>
            </w:r>
          </w:p>
          <w:p w14:paraId="1D9D6FBC" w14:textId="77777777" w:rsidR="00101412" w:rsidRPr="00C342A7" w:rsidRDefault="00101412" w:rsidP="00101412">
            <w:pPr>
              <w:jc w:val="both"/>
              <w:rPr>
                <w:rFonts w:ascii="Times New Roman" w:hAnsi="Times New Roman" w:cs="Times New Roman"/>
                <w:lang w:val="en-US"/>
              </w:rPr>
            </w:pPr>
          </w:p>
          <w:p w14:paraId="1D9D6FBD" w14:textId="77777777" w:rsidR="00416D04" w:rsidRPr="00C342A7" w:rsidRDefault="002A6ABA" w:rsidP="002A6ABA">
            <w:pPr>
              <w:jc w:val="both"/>
              <w:rPr>
                <w:rFonts w:ascii="Times New Roman" w:hAnsi="Times New Roman" w:cs="Times New Roman"/>
                <w:lang w:val="en-US"/>
              </w:rPr>
            </w:pPr>
            <w:r w:rsidRPr="00C342A7">
              <w:rPr>
                <w:rFonts w:ascii="Times New Roman" w:hAnsi="Times New Roman"/>
                <w:lang w:val="en-US"/>
              </w:rPr>
              <w:t>During the period 1974-1989, a series of annexes were introduced into the University House complex, behind the main building, so that they are not visible from Dionisie Lupu Street or Pictor Arthur Verona Street: a covered terrace (344 sq m), two platforms, a kitchen (256 sq m), warehouses, storage rooms and greenhouse extensions. Of the four greenhouses, the largest (441 sq m) was built during this period and is located towards Pictor Arthur Verona Street.</w:t>
            </w:r>
          </w:p>
        </w:tc>
      </w:tr>
    </w:tbl>
    <w:p w14:paraId="1D9D6FBF" w14:textId="77777777" w:rsidR="00CC7029" w:rsidRPr="00C342A7" w:rsidRDefault="00CC7029" w:rsidP="00320F90">
      <w:pPr>
        <w:jc w:val="both"/>
        <w:rPr>
          <w:rFonts w:ascii="Times New Roman" w:hAnsi="Times New Roman" w:cs="Times New Roman"/>
          <w:lang w:val="en-US"/>
        </w:rPr>
      </w:pPr>
    </w:p>
    <w:p w14:paraId="1D9D6FC0" w14:textId="77777777" w:rsidR="00416D04" w:rsidRPr="00C342A7" w:rsidRDefault="00416D04" w:rsidP="00320F90">
      <w:pPr>
        <w:jc w:val="both"/>
        <w:rPr>
          <w:rFonts w:ascii="Times New Roman" w:hAnsi="Times New Roman" w:cs="Times New Roman"/>
          <w:lang w:val="en-US"/>
        </w:rPr>
      </w:pPr>
    </w:p>
    <w:p w14:paraId="1D9D6FC1" w14:textId="77777777" w:rsidR="00416D04" w:rsidRPr="00C342A7" w:rsidRDefault="00416D04" w:rsidP="00320F90">
      <w:pPr>
        <w:jc w:val="both"/>
        <w:rPr>
          <w:rFonts w:ascii="Times New Roman" w:hAnsi="Times New Roman" w:cs="Times New Roman"/>
          <w:lang w:val="en-US"/>
        </w:rPr>
      </w:pPr>
    </w:p>
    <w:p w14:paraId="1D9D6FC2" w14:textId="77777777" w:rsidR="002A6ABA" w:rsidRPr="00C342A7" w:rsidRDefault="002A6ABA" w:rsidP="002A6ABA">
      <w:pPr>
        <w:jc w:val="both"/>
        <w:rPr>
          <w:rFonts w:ascii="Times New Roman" w:hAnsi="Times New Roman" w:cs="Times New Roman"/>
          <w:sz w:val="24"/>
          <w:szCs w:val="24"/>
          <w:lang w:val="en-US"/>
        </w:rPr>
      </w:pPr>
      <w:r w:rsidRPr="00C342A7">
        <w:rPr>
          <w:rFonts w:ascii="Times New Roman" w:hAnsi="Times New Roman"/>
          <w:b/>
          <w:sz w:val="24"/>
          <w:lang w:val="en-US"/>
        </w:rPr>
        <w:lastRenderedPageBreak/>
        <w:t xml:space="preserve">1 </w:t>
      </w:r>
      <w:proofErr w:type="spellStart"/>
      <w:r w:rsidRPr="00C342A7">
        <w:rPr>
          <w:rFonts w:ascii="Times New Roman" w:hAnsi="Times New Roman"/>
          <w:b/>
          <w:sz w:val="24"/>
          <w:lang w:val="en-US"/>
        </w:rPr>
        <w:t>Icoanei</w:t>
      </w:r>
      <w:proofErr w:type="spellEnd"/>
      <w:r w:rsidRPr="00C342A7">
        <w:rPr>
          <w:rFonts w:ascii="Times New Roman" w:hAnsi="Times New Roman"/>
          <w:b/>
          <w:sz w:val="24"/>
          <w:lang w:val="en-US"/>
        </w:rPr>
        <w:t xml:space="preserve"> Garden</w:t>
      </w:r>
      <w:r w:rsidRPr="00C342A7">
        <w:rPr>
          <w:rFonts w:ascii="Times New Roman" w:hAnsi="Times New Roman"/>
          <w:sz w:val="24"/>
          <w:lang w:val="en-US"/>
        </w:rPr>
        <w:t xml:space="preserve"> (L.M.I. 2015 code: B-II-a-B-18301), late 19th century - early 20th century - Gheorghe </w:t>
      </w:r>
      <w:proofErr w:type="spellStart"/>
      <w:r w:rsidRPr="00C342A7">
        <w:rPr>
          <w:rFonts w:ascii="Times New Roman" w:hAnsi="Times New Roman"/>
          <w:sz w:val="24"/>
          <w:lang w:val="en-US"/>
        </w:rPr>
        <w:t>Cantacuzino</w:t>
      </w:r>
      <w:proofErr w:type="spellEnd"/>
      <w:r w:rsidRPr="00C342A7">
        <w:rPr>
          <w:rFonts w:ascii="Times New Roman" w:hAnsi="Times New Roman"/>
          <w:sz w:val="24"/>
          <w:lang w:val="en-US"/>
        </w:rPr>
        <w:t xml:space="preserve"> Square, without house number</w:t>
      </w:r>
    </w:p>
    <w:p w14:paraId="1D9D6FC3" w14:textId="77777777" w:rsidR="002A6ABA" w:rsidRPr="00C342A7" w:rsidRDefault="002A6ABA" w:rsidP="002A6ABA">
      <w:pPr>
        <w:jc w:val="both"/>
        <w:rPr>
          <w:rFonts w:ascii="Times New Roman" w:hAnsi="Times New Roman" w:cs="Times New Roman"/>
          <w:sz w:val="24"/>
          <w:szCs w:val="24"/>
          <w:lang w:val="en-US"/>
        </w:rPr>
      </w:pPr>
      <w:r w:rsidRPr="00C342A7">
        <w:rPr>
          <w:rFonts w:ascii="Times New Roman" w:hAnsi="Times New Roman"/>
          <w:b/>
          <w:sz w:val="24"/>
          <w:lang w:val="en-US"/>
        </w:rPr>
        <w:t>2 Central School for Girls</w:t>
      </w:r>
      <w:r w:rsidRPr="00C342A7">
        <w:rPr>
          <w:rFonts w:ascii="Times New Roman" w:hAnsi="Times New Roman"/>
          <w:sz w:val="24"/>
          <w:lang w:val="en-US"/>
        </w:rPr>
        <w:t xml:space="preserve"> (L.M.I. 2015 code: B-II-m-A-18924). 1890 - </w:t>
      </w:r>
      <w:proofErr w:type="spellStart"/>
      <w:r w:rsidRPr="00C342A7">
        <w:rPr>
          <w:rFonts w:ascii="Times New Roman" w:hAnsi="Times New Roman"/>
          <w:sz w:val="24"/>
          <w:lang w:val="en-US"/>
        </w:rPr>
        <w:t>Icoanei</w:t>
      </w:r>
      <w:proofErr w:type="spellEnd"/>
      <w:r w:rsidRPr="00C342A7">
        <w:rPr>
          <w:rFonts w:ascii="Times New Roman" w:hAnsi="Times New Roman"/>
          <w:sz w:val="24"/>
          <w:lang w:val="en-US"/>
        </w:rPr>
        <w:t xml:space="preserve"> street, no. 3-5</w:t>
      </w:r>
    </w:p>
    <w:p w14:paraId="1D9D6FC4" w14:textId="77777777" w:rsidR="002A6ABA" w:rsidRPr="00C342A7" w:rsidRDefault="002A6ABA" w:rsidP="002A6ABA">
      <w:pPr>
        <w:jc w:val="both"/>
        <w:rPr>
          <w:rFonts w:ascii="Times New Roman" w:hAnsi="Times New Roman" w:cs="Times New Roman"/>
          <w:sz w:val="24"/>
          <w:szCs w:val="24"/>
          <w:lang w:val="en-US"/>
        </w:rPr>
      </w:pPr>
      <w:r w:rsidRPr="00C342A7">
        <w:rPr>
          <w:rFonts w:ascii="Times New Roman" w:hAnsi="Times New Roman"/>
          <w:b/>
          <w:sz w:val="24"/>
          <w:lang w:val="en-US"/>
        </w:rPr>
        <w:t xml:space="preserve">3 Prof. Dr. </w:t>
      </w:r>
      <w:proofErr w:type="spellStart"/>
      <w:r w:rsidRPr="00C342A7">
        <w:rPr>
          <w:rFonts w:ascii="Times New Roman" w:hAnsi="Times New Roman"/>
          <w:b/>
          <w:sz w:val="24"/>
          <w:lang w:val="en-US"/>
        </w:rPr>
        <w:t>Turnescu</w:t>
      </w:r>
      <w:proofErr w:type="spellEnd"/>
      <w:r w:rsidRPr="00C342A7">
        <w:rPr>
          <w:rFonts w:ascii="Times New Roman" w:hAnsi="Times New Roman"/>
          <w:b/>
          <w:sz w:val="24"/>
          <w:lang w:val="en-US"/>
        </w:rPr>
        <w:t xml:space="preserve"> House</w:t>
      </w:r>
      <w:r w:rsidRPr="00C342A7">
        <w:rPr>
          <w:rFonts w:ascii="Times New Roman" w:hAnsi="Times New Roman"/>
          <w:sz w:val="24"/>
          <w:lang w:val="en-US"/>
        </w:rPr>
        <w:t xml:space="preserve"> (L.M.I. 2015 code: B-II-m-B-19106) - end of the 19th century - Dionisie Lupu Street. no. 37</w:t>
      </w:r>
    </w:p>
    <w:p w14:paraId="1D9D6FC5" w14:textId="77777777" w:rsidR="002A6ABA" w:rsidRPr="00C342A7" w:rsidRDefault="002A6ABA" w:rsidP="002A6ABA">
      <w:pPr>
        <w:jc w:val="both"/>
        <w:rPr>
          <w:rFonts w:ascii="Times New Roman" w:hAnsi="Times New Roman" w:cs="Times New Roman"/>
          <w:sz w:val="24"/>
          <w:szCs w:val="24"/>
          <w:lang w:val="en-US"/>
        </w:rPr>
      </w:pPr>
      <w:r w:rsidRPr="00C342A7">
        <w:rPr>
          <w:rFonts w:ascii="Times New Roman" w:hAnsi="Times New Roman"/>
          <w:b/>
          <w:sz w:val="24"/>
          <w:lang w:val="en-US"/>
        </w:rPr>
        <w:t>4 Librecht-</w:t>
      </w:r>
      <w:proofErr w:type="spellStart"/>
      <w:r w:rsidRPr="00C342A7">
        <w:rPr>
          <w:rFonts w:ascii="Times New Roman" w:hAnsi="Times New Roman"/>
          <w:b/>
          <w:sz w:val="24"/>
          <w:lang w:val="en-US"/>
        </w:rPr>
        <w:t>Filipescu</w:t>
      </w:r>
      <w:proofErr w:type="spellEnd"/>
      <w:r w:rsidRPr="00C342A7">
        <w:rPr>
          <w:rFonts w:ascii="Times New Roman" w:hAnsi="Times New Roman"/>
          <w:b/>
          <w:sz w:val="24"/>
          <w:lang w:val="en-US"/>
        </w:rPr>
        <w:t xml:space="preserve"> House – Today, University House</w:t>
      </w:r>
      <w:r w:rsidRPr="00C342A7">
        <w:rPr>
          <w:rFonts w:ascii="Times New Roman" w:hAnsi="Times New Roman"/>
          <w:sz w:val="24"/>
          <w:lang w:val="en-US"/>
        </w:rPr>
        <w:t xml:space="preserve"> (L.M.I. 2015 code: B-II-m-A-19107), mid-19th century - Dionisie Lupu Street, no. 46</w:t>
      </w:r>
    </w:p>
    <w:p w14:paraId="1D9D6FC6" w14:textId="77777777" w:rsidR="002A6ABA" w:rsidRPr="00C342A7" w:rsidRDefault="002A6ABA" w:rsidP="002A6ABA">
      <w:pPr>
        <w:jc w:val="both"/>
        <w:rPr>
          <w:rFonts w:ascii="Times New Roman" w:hAnsi="Times New Roman" w:cs="Times New Roman"/>
          <w:sz w:val="24"/>
          <w:szCs w:val="24"/>
          <w:lang w:val="en-US"/>
        </w:rPr>
      </w:pPr>
      <w:r w:rsidRPr="00C342A7">
        <w:rPr>
          <w:rFonts w:ascii="Times New Roman" w:hAnsi="Times New Roman"/>
          <w:b/>
          <w:sz w:val="24"/>
          <w:lang w:val="en-US"/>
        </w:rPr>
        <w:t>5 Church of the "Resurrection" - Anglican</w:t>
      </w:r>
      <w:r w:rsidRPr="00C342A7">
        <w:rPr>
          <w:rFonts w:ascii="Times New Roman" w:hAnsi="Times New Roman"/>
          <w:sz w:val="24"/>
          <w:lang w:val="en-US"/>
        </w:rPr>
        <w:t xml:space="preserve"> (L.M.I. 2015 code: B-II-m-B-19833), early 20th century - Pictor Arthur Verona Street, no. 13</w:t>
      </w:r>
    </w:p>
    <w:p w14:paraId="1D9D6FC7" w14:textId="77777777" w:rsidR="002A6ABA" w:rsidRPr="00C342A7" w:rsidRDefault="002A6ABA" w:rsidP="002A6ABA">
      <w:pPr>
        <w:jc w:val="both"/>
        <w:rPr>
          <w:rFonts w:ascii="Times New Roman" w:hAnsi="Times New Roman" w:cs="Times New Roman"/>
          <w:sz w:val="24"/>
          <w:szCs w:val="24"/>
          <w:lang w:val="en-US"/>
        </w:rPr>
      </w:pPr>
      <w:r w:rsidRPr="00C342A7">
        <w:rPr>
          <w:rFonts w:ascii="Times New Roman" w:hAnsi="Times New Roman"/>
          <w:b/>
          <w:sz w:val="24"/>
          <w:lang w:val="en-US"/>
        </w:rPr>
        <w:t>6 House</w:t>
      </w:r>
      <w:r w:rsidRPr="00C342A7">
        <w:rPr>
          <w:rFonts w:ascii="Times New Roman" w:hAnsi="Times New Roman"/>
          <w:sz w:val="24"/>
          <w:lang w:val="en-US"/>
        </w:rPr>
        <w:t xml:space="preserve"> (L.M.I. 2015 code: B-II-m-B-19624), end of the 19th century - C.A. Rosetti Street, no. 33</w:t>
      </w:r>
    </w:p>
    <w:p w14:paraId="1D9D6FC8" w14:textId="77777777" w:rsidR="002A6ABA" w:rsidRPr="00C342A7" w:rsidRDefault="002A6ABA" w:rsidP="002A6ABA">
      <w:pPr>
        <w:jc w:val="both"/>
        <w:rPr>
          <w:rFonts w:ascii="Times New Roman" w:hAnsi="Times New Roman" w:cs="Times New Roman"/>
          <w:sz w:val="24"/>
          <w:szCs w:val="24"/>
          <w:lang w:val="en-US"/>
        </w:rPr>
      </w:pPr>
      <w:r w:rsidRPr="00C342A7">
        <w:rPr>
          <w:rFonts w:ascii="Times New Roman" w:hAnsi="Times New Roman"/>
          <w:b/>
          <w:sz w:val="24"/>
          <w:lang w:val="en-US"/>
        </w:rPr>
        <w:t>7 House</w:t>
      </w:r>
      <w:r w:rsidRPr="00C342A7">
        <w:rPr>
          <w:rFonts w:ascii="Times New Roman" w:hAnsi="Times New Roman"/>
          <w:sz w:val="24"/>
          <w:lang w:val="en-US"/>
        </w:rPr>
        <w:t xml:space="preserve"> (L.M.I. 2015 code: LMI-m-B-19625). End of the 19th century - C.A. Rosetti Street, no. 35</w:t>
      </w:r>
    </w:p>
    <w:p w14:paraId="1D9D6FC9" w14:textId="77777777" w:rsidR="00416D04" w:rsidRPr="00C342A7" w:rsidRDefault="002A6ABA" w:rsidP="002A6ABA">
      <w:pPr>
        <w:jc w:val="both"/>
        <w:rPr>
          <w:rFonts w:ascii="Times New Roman" w:hAnsi="Times New Roman" w:cs="Times New Roman"/>
          <w:sz w:val="24"/>
          <w:szCs w:val="24"/>
          <w:lang w:val="en-US"/>
        </w:rPr>
      </w:pPr>
      <w:r w:rsidRPr="00C342A7">
        <w:rPr>
          <w:rFonts w:ascii="Times New Roman" w:hAnsi="Times New Roman"/>
          <w:b/>
          <w:sz w:val="24"/>
          <w:lang w:val="en-US"/>
        </w:rPr>
        <w:t xml:space="preserve">8 </w:t>
      </w:r>
      <w:proofErr w:type="spellStart"/>
      <w:r w:rsidRPr="00C342A7">
        <w:rPr>
          <w:rFonts w:ascii="Times New Roman" w:hAnsi="Times New Roman"/>
          <w:b/>
          <w:sz w:val="24"/>
          <w:lang w:val="en-US"/>
        </w:rPr>
        <w:t>Gh</w:t>
      </w:r>
      <w:proofErr w:type="spellEnd"/>
      <w:r w:rsidRPr="00C342A7">
        <w:rPr>
          <w:rFonts w:ascii="Times New Roman" w:hAnsi="Times New Roman"/>
          <w:b/>
          <w:sz w:val="24"/>
          <w:lang w:val="en-US"/>
        </w:rPr>
        <w:t xml:space="preserve">. Gr. </w:t>
      </w:r>
      <w:proofErr w:type="spellStart"/>
      <w:r w:rsidRPr="00C342A7">
        <w:rPr>
          <w:rFonts w:ascii="Times New Roman" w:hAnsi="Times New Roman"/>
          <w:b/>
          <w:sz w:val="24"/>
          <w:lang w:val="en-US"/>
        </w:rPr>
        <w:t>Cantacuzino</w:t>
      </w:r>
      <w:proofErr w:type="spellEnd"/>
      <w:r w:rsidRPr="00C342A7">
        <w:rPr>
          <w:rFonts w:ascii="Times New Roman" w:hAnsi="Times New Roman"/>
          <w:b/>
          <w:sz w:val="24"/>
          <w:lang w:val="en-US"/>
        </w:rPr>
        <w:t xml:space="preserve"> Monument</w:t>
      </w:r>
      <w:r w:rsidRPr="00C342A7">
        <w:rPr>
          <w:rFonts w:ascii="Times New Roman" w:hAnsi="Times New Roman"/>
          <w:sz w:val="24"/>
          <w:lang w:val="en-US"/>
        </w:rPr>
        <w:t xml:space="preserve"> (cod L.M.I. 2015 code: B-III-m-B-19968) - Gheorghe </w:t>
      </w:r>
      <w:proofErr w:type="spellStart"/>
      <w:r w:rsidRPr="00C342A7">
        <w:rPr>
          <w:rFonts w:ascii="Times New Roman" w:hAnsi="Times New Roman"/>
          <w:sz w:val="24"/>
          <w:lang w:val="en-US"/>
        </w:rPr>
        <w:t>Cantacuzino</w:t>
      </w:r>
      <w:proofErr w:type="spellEnd"/>
      <w:r w:rsidRPr="00C342A7">
        <w:rPr>
          <w:rFonts w:ascii="Times New Roman" w:hAnsi="Times New Roman"/>
          <w:sz w:val="24"/>
          <w:lang w:val="en-US"/>
        </w:rPr>
        <w:t xml:space="preserve"> Square, without house number, in the </w:t>
      </w:r>
      <w:proofErr w:type="spellStart"/>
      <w:r w:rsidRPr="00C342A7">
        <w:rPr>
          <w:rFonts w:ascii="Times New Roman" w:hAnsi="Times New Roman"/>
          <w:sz w:val="24"/>
          <w:lang w:val="en-US"/>
        </w:rPr>
        <w:t>Icoanei</w:t>
      </w:r>
      <w:proofErr w:type="spellEnd"/>
      <w:r w:rsidRPr="00C342A7">
        <w:rPr>
          <w:rFonts w:ascii="Times New Roman" w:hAnsi="Times New Roman"/>
          <w:sz w:val="24"/>
          <w:lang w:val="en-US"/>
        </w:rPr>
        <w:t xml:space="preserve"> Garden</w:t>
      </w:r>
    </w:p>
    <w:tbl>
      <w:tblPr>
        <w:tblW w:w="5000" w:type="pct"/>
        <w:tblCellMar>
          <w:left w:w="0" w:type="dxa"/>
          <w:right w:w="0" w:type="dxa"/>
        </w:tblCellMar>
        <w:tblLook w:val="0000" w:firstRow="0" w:lastRow="0" w:firstColumn="0" w:lastColumn="0" w:noHBand="0" w:noVBand="0"/>
      </w:tblPr>
      <w:tblGrid>
        <w:gridCol w:w="2981"/>
        <w:gridCol w:w="363"/>
        <w:gridCol w:w="1084"/>
        <w:gridCol w:w="2122"/>
        <w:gridCol w:w="1925"/>
        <w:gridCol w:w="1385"/>
        <w:gridCol w:w="1538"/>
        <w:gridCol w:w="1572"/>
      </w:tblGrid>
      <w:tr w:rsidR="00CC7029" w:rsidRPr="00C342A7" w14:paraId="1D9D6FD8" w14:textId="77777777" w:rsidTr="00F96F47">
        <w:tc>
          <w:tcPr>
            <w:tcW w:w="1149" w:type="pct"/>
            <w:tcBorders>
              <w:top w:val="single" w:sz="4" w:space="0" w:color="auto"/>
              <w:left w:val="single" w:sz="4" w:space="0" w:color="auto"/>
              <w:bottom w:val="nil"/>
              <w:right w:val="nil"/>
            </w:tcBorders>
            <w:shd w:val="clear" w:color="auto" w:fill="FFFFFF"/>
          </w:tcPr>
          <w:p w14:paraId="1D9D6FCA" w14:textId="77777777" w:rsidR="00CC7029" w:rsidRPr="00C342A7" w:rsidRDefault="00CC7029" w:rsidP="00F96F47">
            <w:pPr>
              <w:spacing w:after="0" w:line="240" w:lineRule="auto"/>
              <w:jc w:val="center"/>
              <w:rPr>
                <w:rFonts w:ascii="Times New Roman" w:eastAsia="Times New Roman" w:hAnsi="Times New Roman" w:cs="Times New Roman"/>
                <w:b/>
                <w:color w:val="000000"/>
                <w:sz w:val="18"/>
                <w:szCs w:val="18"/>
                <w:lang w:val="en-US"/>
              </w:rPr>
            </w:pPr>
            <w:r w:rsidRPr="00C342A7">
              <w:rPr>
                <w:rFonts w:ascii="Times New Roman" w:hAnsi="Times New Roman"/>
                <w:b/>
                <w:color w:val="000000"/>
                <w:sz w:val="18"/>
                <w:lang w:val="en-US"/>
              </w:rPr>
              <w:t>DESIGNER:</w:t>
            </w:r>
          </w:p>
          <w:p w14:paraId="1D9D6FCB"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noProof/>
                <w:lang w:val="en-US"/>
              </w:rPr>
              <w:drawing>
                <wp:inline distT="0" distB="0" distL="0" distR="0" wp14:anchorId="1D9D6FFF" wp14:editId="1D9D7000">
                  <wp:extent cx="1876425" cy="5715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876425" cy="571500"/>
                          </a:xfrm>
                          <a:prstGeom prst="rect">
                            <a:avLst/>
                          </a:prstGeom>
                        </pic:spPr>
                      </pic:pic>
                    </a:graphicData>
                  </a:graphic>
                </wp:inline>
              </w:drawing>
            </w:r>
          </w:p>
          <w:p w14:paraId="1D9D6FCC"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S.C. LOGIC'PLAN S.R.L.</w:t>
            </w:r>
          </w:p>
          <w:p w14:paraId="1D9D6FCD"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J40/11100/22017, Sole Registration Code (CUI): 37883598</w:t>
            </w:r>
          </w:p>
        </w:tc>
        <w:tc>
          <w:tcPr>
            <w:tcW w:w="558" w:type="pct"/>
            <w:gridSpan w:val="2"/>
            <w:tcBorders>
              <w:top w:val="single" w:sz="4" w:space="0" w:color="auto"/>
              <w:left w:val="single" w:sz="4" w:space="0" w:color="auto"/>
              <w:bottom w:val="nil"/>
              <w:right w:val="nil"/>
            </w:tcBorders>
            <w:shd w:val="clear" w:color="auto" w:fill="FFFFFF"/>
          </w:tcPr>
          <w:p w14:paraId="1D9D6FCE" w14:textId="77777777" w:rsidR="00CC7029" w:rsidRPr="00C342A7" w:rsidRDefault="00CC7029" w:rsidP="00F96F47">
            <w:pPr>
              <w:spacing w:after="0" w:line="240" w:lineRule="auto"/>
              <w:jc w:val="center"/>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SIGNATURE:</w:t>
            </w:r>
          </w:p>
        </w:tc>
        <w:tc>
          <w:tcPr>
            <w:tcW w:w="818" w:type="pct"/>
            <w:tcBorders>
              <w:top w:val="single" w:sz="4" w:space="0" w:color="auto"/>
              <w:left w:val="single" w:sz="4" w:space="0" w:color="auto"/>
              <w:bottom w:val="nil"/>
              <w:right w:val="nil"/>
            </w:tcBorders>
            <w:shd w:val="clear" w:color="auto" w:fill="FFFFFF"/>
          </w:tcPr>
          <w:p w14:paraId="1D9D6FCF" w14:textId="77777777" w:rsidR="00CC7029" w:rsidRPr="00C342A7" w:rsidRDefault="00CC7029" w:rsidP="00F96F47">
            <w:pPr>
              <w:spacing w:after="0" w:line="240" w:lineRule="auto"/>
              <w:jc w:val="center"/>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JECT MANAGER</w:t>
            </w:r>
          </w:p>
          <w:p w14:paraId="1D9D6FD0" w14:textId="77777777" w:rsidR="00CC7029" w:rsidRPr="00C342A7" w:rsidRDefault="00CC7029" w:rsidP="00F96F47">
            <w:pPr>
              <w:spacing w:after="0" w:line="240" w:lineRule="auto"/>
              <w:jc w:val="center"/>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Laura Elena TUCAN</w:t>
            </w:r>
          </w:p>
          <w:p w14:paraId="1D9D6FD1" w14:textId="77777777" w:rsidR="00CC7029" w:rsidRPr="00C342A7" w:rsidRDefault="00CC7029" w:rsidP="00F96F47">
            <w:pPr>
              <w:spacing w:after="0" w:line="240" w:lineRule="auto"/>
              <w:jc w:val="center"/>
              <w:rPr>
                <w:rFonts w:ascii="Times New Roman" w:eastAsia="Times New Roman" w:hAnsi="Times New Roman" w:cs="Times New Roman"/>
                <w:color w:val="000000"/>
                <w:sz w:val="18"/>
                <w:szCs w:val="18"/>
                <w:lang w:val="en-US"/>
              </w:rPr>
            </w:pPr>
            <w:r w:rsidRPr="00C342A7">
              <w:rPr>
                <w:rFonts w:ascii="Times New Roman" w:hAnsi="Times New Roman"/>
                <w:color w:val="000000"/>
                <w:sz w:val="18"/>
                <w:lang w:val="en-US"/>
              </w:rPr>
              <w:t>Urban planner, RUR member</w:t>
            </w:r>
          </w:p>
          <w:p w14:paraId="1D9D6FD2" w14:textId="77777777" w:rsidR="00CC7029" w:rsidRPr="00C342A7" w:rsidRDefault="00CC7029" w:rsidP="00F96F47">
            <w:pPr>
              <w:spacing w:after="0" w:line="240" w:lineRule="auto"/>
              <w:jc w:val="center"/>
              <w:rPr>
                <w:rFonts w:ascii="Times New Roman" w:eastAsia="Times New Roman" w:hAnsi="Times New Roman" w:cs="Times New Roman"/>
                <w:sz w:val="18"/>
                <w:szCs w:val="18"/>
                <w:lang w:val="en-US"/>
              </w:rPr>
            </w:pPr>
            <w:r w:rsidRPr="00C342A7">
              <w:rPr>
                <w:rFonts w:ascii="Times New Roman" w:hAnsi="Times New Roman"/>
                <w:color w:val="000000"/>
                <w:sz w:val="18"/>
                <w:lang w:val="en-US"/>
              </w:rPr>
              <w:t>Specialist certified by the Ministry of Culture</w:t>
            </w:r>
          </w:p>
        </w:tc>
        <w:tc>
          <w:tcPr>
            <w:tcW w:w="742" w:type="pct"/>
            <w:tcBorders>
              <w:top w:val="single" w:sz="4" w:space="0" w:color="auto"/>
              <w:left w:val="single" w:sz="4" w:space="0" w:color="auto"/>
              <w:bottom w:val="nil"/>
              <w:right w:val="nil"/>
            </w:tcBorders>
            <w:shd w:val="clear" w:color="auto" w:fill="FFFFFF"/>
          </w:tcPr>
          <w:p w14:paraId="1D9D6FD3" w14:textId="77777777" w:rsidR="00CC7029" w:rsidRPr="00C342A7" w:rsidRDefault="00CC7029" w:rsidP="00F96F47">
            <w:pPr>
              <w:spacing w:after="0" w:line="240" w:lineRule="auto"/>
              <w:jc w:val="center"/>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SIGNATURE:</w:t>
            </w:r>
          </w:p>
        </w:tc>
        <w:tc>
          <w:tcPr>
            <w:tcW w:w="1127" w:type="pct"/>
            <w:gridSpan w:val="2"/>
            <w:tcBorders>
              <w:top w:val="single" w:sz="4" w:space="0" w:color="auto"/>
              <w:left w:val="single" w:sz="4" w:space="0" w:color="auto"/>
              <w:bottom w:val="nil"/>
              <w:right w:val="nil"/>
            </w:tcBorders>
            <w:shd w:val="clear" w:color="auto" w:fill="FFFFFF"/>
          </w:tcPr>
          <w:p w14:paraId="1D9D6FD4" w14:textId="77777777" w:rsidR="00CC7029" w:rsidRPr="00C342A7" w:rsidRDefault="00CC7029" w:rsidP="00CC7029">
            <w:pPr>
              <w:spacing w:after="0" w:line="240" w:lineRule="auto"/>
              <w:jc w:val="both"/>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ARCHITECTURE COORDINATOR:</w:t>
            </w:r>
          </w:p>
          <w:p w14:paraId="1D9D6FD5" w14:textId="77777777" w:rsidR="00CC7029" w:rsidRPr="00C342A7" w:rsidRDefault="00CC7029" w:rsidP="00CC7029">
            <w:pPr>
              <w:spacing w:after="0" w:line="240" w:lineRule="auto"/>
              <w:jc w:val="both"/>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George - Bogdan TEODORESCU</w:t>
            </w:r>
          </w:p>
          <w:p w14:paraId="1D9D6FD6" w14:textId="77777777" w:rsidR="00CC7029" w:rsidRPr="00C342A7" w:rsidRDefault="00CC7029" w:rsidP="00CC7029">
            <w:pPr>
              <w:spacing w:after="0" w:line="240" w:lineRule="auto"/>
              <w:jc w:val="both"/>
              <w:rPr>
                <w:rFonts w:ascii="Times New Roman" w:eastAsia="Times New Roman" w:hAnsi="Times New Roman" w:cs="Times New Roman"/>
                <w:sz w:val="18"/>
                <w:szCs w:val="18"/>
                <w:lang w:val="en-US"/>
              </w:rPr>
            </w:pPr>
            <w:r w:rsidRPr="00C342A7">
              <w:rPr>
                <w:rFonts w:ascii="Times New Roman" w:hAnsi="Times New Roman"/>
                <w:color w:val="000000"/>
                <w:sz w:val="18"/>
                <w:lang w:val="en-US"/>
              </w:rPr>
              <w:t>Architect, OAR Member, Specialist certified by the Ministry of Culture</w:t>
            </w:r>
          </w:p>
        </w:tc>
        <w:tc>
          <w:tcPr>
            <w:tcW w:w="606" w:type="pct"/>
            <w:tcBorders>
              <w:top w:val="single" w:sz="4" w:space="0" w:color="auto"/>
              <w:left w:val="single" w:sz="4" w:space="0" w:color="auto"/>
              <w:bottom w:val="nil"/>
              <w:right w:val="single" w:sz="4" w:space="0" w:color="auto"/>
            </w:tcBorders>
            <w:shd w:val="clear" w:color="auto" w:fill="FFFFFF"/>
          </w:tcPr>
          <w:p w14:paraId="1D9D6FD7" w14:textId="77777777" w:rsidR="00CC7029" w:rsidRPr="00C342A7" w:rsidRDefault="00CC7029" w:rsidP="00F96F47">
            <w:pPr>
              <w:spacing w:after="0" w:line="240" w:lineRule="auto"/>
              <w:jc w:val="center"/>
              <w:rPr>
                <w:rFonts w:ascii="Times New Roman" w:eastAsia="Times New Roman" w:hAnsi="Times New Roman" w:cs="Times New Roman"/>
                <w:sz w:val="18"/>
                <w:szCs w:val="18"/>
                <w:lang w:val="en-US"/>
              </w:rPr>
            </w:pPr>
            <w:r w:rsidRPr="00C342A7">
              <w:rPr>
                <w:rFonts w:ascii="Times New Roman" w:hAnsi="Times New Roman"/>
                <w:b/>
                <w:color w:val="000000"/>
                <w:sz w:val="18"/>
                <w:lang w:val="en-US"/>
              </w:rPr>
              <w:t>SIGNATURE:</w:t>
            </w:r>
          </w:p>
        </w:tc>
      </w:tr>
      <w:tr w:rsidR="00CC7029" w:rsidRPr="00C342A7" w14:paraId="1D9D6FDC" w14:textId="77777777" w:rsidTr="00F96F47">
        <w:tc>
          <w:tcPr>
            <w:tcW w:w="2525" w:type="pct"/>
            <w:gridSpan w:val="4"/>
            <w:tcBorders>
              <w:top w:val="single" w:sz="4" w:space="0" w:color="auto"/>
              <w:left w:val="single" w:sz="4" w:space="0" w:color="auto"/>
              <w:bottom w:val="nil"/>
              <w:right w:val="nil"/>
            </w:tcBorders>
            <w:shd w:val="clear" w:color="auto" w:fill="FFFFFF"/>
          </w:tcPr>
          <w:p w14:paraId="1D9D6FD9" w14:textId="77777777" w:rsidR="00CC7029" w:rsidRPr="00C342A7" w:rsidRDefault="00CC7029" w:rsidP="00F96F47">
            <w:pPr>
              <w:spacing w:after="0" w:line="240" w:lineRule="auto"/>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PROJECT NAME:</w:t>
            </w:r>
          </w:p>
        </w:tc>
        <w:tc>
          <w:tcPr>
            <w:tcW w:w="1276" w:type="pct"/>
            <w:gridSpan w:val="2"/>
            <w:tcBorders>
              <w:top w:val="single" w:sz="4" w:space="0" w:color="auto"/>
              <w:left w:val="single" w:sz="4" w:space="0" w:color="auto"/>
              <w:bottom w:val="nil"/>
              <w:right w:val="nil"/>
            </w:tcBorders>
            <w:shd w:val="clear" w:color="auto" w:fill="FFFFFF"/>
          </w:tcPr>
          <w:p w14:paraId="1D9D6FDA" w14:textId="77777777" w:rsidR="00CC7029" w:rsidRPr="00C342A7" w:rsidRDefault="00CC7029" w:rsidP="00F96F47">
            <w:pPr>
              <w:spacing w:after="0" w:line="240" w:lineRule="auto"/>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DESIGNED/ELABORATED:</w:t>
            </w:r>
          </w:p>
        </w:tc>
        <w:tc>
          <w:tcPr>
            <w:tcW w:w="1199" w:type="pct"/>
            <w:gridSpan w:val="2"/>
            <w:tcBorders>
              <w:top w:val="single" w:sz="4" w:space="0" w:color="auto"/>
              <w:left w:val="single" w:sz="4" w:space="0" w:color="auto"/>
              <w:bottom w:val="nil"/>
              <w:right w:val="single" w:sz="4" w:space="0" w:color="auto"/>
            </w:tcBorders>
            <w:shd w:val="clear" w:color="auto" w:fill="FFFFFF"/>
          </w:tcPr>
          <w:p w14:paraId="1D9D6FDB" w14:textId="77777777" w:rsidR="00CC7029" w:rsidRPr="00C342A7" w:rsidRDefault="00CC7029" w:rsidP="00F96F47">
            <w:pPr>
              <w:spacing w:after="0" w:line="240" w:lineRule="auto"/>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SIGNATURES:</w:t>
            </w:r>
          </w:p>
        </w:tc>
      </w:tr>
      <w:tr w:rsidR="00CC7029" w:rsidRPr="00C342A7" w14:paraId="1D9D6FE0" w14:textId="77777777" w:rsidTr="00F96F47">
        <w:tc>
          <w:tcPr>
            <w:tcW w:w="2525" w:type="pct"/>
            <w:gridSpan w:val="4"/>
            <w:vMerge w:val="restart"/>
            <w:tcBorders>
              <w:top w:val="single" w:sz="4" w:space="0" w:color="auto"/>
              <w:left w:val="single" w:sz="4" w:space="0" w:color="auto"/>
              <w:bottom w:val="nil"/>
              <w:right w:val="nil"/>
            </w:tcBorders>
            <w:shd w:val="clear" w:color="auto" w:fill="FFFFFF"/>
            <w:vAlign w:val="center"/>
          </w:tcPr>
          <w:p w14:paraId="1D9D6FDD"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 xml:space="preserve">Historical study for the analysis of the possibilities of functional conversion of the annexes, the greenhouse and the courtyard of the Librecht - </w:t>
            </w:r>
            <w:proofErr w:type="spellStart"/>
            <w:r w:rsidRPr="00C342A7">
              <w:rPr>
                <w:rFonts w:ascii="Times New Roman" w:hAnsi="Times New Roman"/>
                <w:color w:val="000000"/>
                <w:sz w:val="18"/>
                <w:lang w:val="en-US"/>
              </w:rPr>
              <w:t>Filipescu</w:t>
            </w:r>
            <w:proofErr w:type="spellEnd"/>
            <w:r w:rsidRPr="00C342A7">
              <w:rPr>
                <w:rFonts w:ascii="Times New Roman" w:hAnsi="Times New Roman"/>
                <w:color w:val="000000"/>
                <w:sz w:val="18"/>
                <w:lang w:val="en-US"/>
              </w:rPr>
              <w:t xml:space="preserve"> House - today the University House (LMI B-II-m-A-19107)</w:t>
            </w:r>
          </w:p>
        </w:tc>
        <w:tc>
          <w:tcPr>
            <w:tcW w:w="1276" w:type="pct"/>
            <w:gridSpan w:val="2"/>
            <w:tcBorders>
              <w:top w:val="single" w:sz="4" w:space="0" w:color="auto"/>
              <w:left w:val="single" w:sz="4" w:space="0" w:color="auto"/>
              <w:bottom w:val="nil"/>
              <w:right w:val="nil"/>
            </w:tcBorders>
            <w:shd w:val="clear" w:color="auto" w:fill="FFFFFF"/>
          </w:tcPr>
          <w:p w14:paraId="1D9D6FDE"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Urban planner Minerva CIOIU</w:t>
            </w:r>
          </w:p>
        </w:tc>
        <w:tc>
          <w:tcPr>
            <w:tcW w:w="1199" w:type="pct"/>
            <w:gridSpan w:val="2"/>
            <w:tcBorders>
              <w:top w:val="single" w:sz="4" w:space="0" w:color="auto"/>
              <w:left w:val="single" w:sz="4" w:space="0" w:color="auto"/>
              <w:bottom w:val="nil"/>
              <w:right w:val="single" w:sz="4" w:space="0" w:color="auto"/>
            </w:tcBorders>
            <w:shd w:val="clear" w:color="auto" w:fill="FFFFFF"/>
          </w:tcPr>
          <w:p w14:paraId="1D9D6FDF"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p>
        </w:tc>
      </w:tr>
      <w:tr w:rsidR="00CC7029" w:rsidRPr="00C342A7" w14:paraId="1D9D6FE4" w14:textId="77777777" w:rsidTr="00F96F47">
        <w:tc>
          <w:tcPr>
            <w:tcW w:w="2525" w:type="pct"/>
            <w:gridSpan w:val="4"/>
            <w:vMerge/>
            <w:tcBorders>
              <w:top w:val="nil"/>
              <w:left w:val="single" w:sz="4" w:space="0" w:color="auto"/>
              <w:bottom w:val="nil"/>
              <w:right w:val="nil"/>
            </w:tcBorders>
            <w:shd w:val="clear" w:color="auto" w:fill="FFFFFF"/>
            <w:vAlign w:val="center"/>
          </w:tcPr>
          <w:p w14:paraId="1D9D6FE1"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1D9D6FE2"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Urban planner Tania DOBRE</w:t>
            </w:r>
          </w:p>
        </w:tc>
        <w:tc>
          <w:tcPr>
            <w:tcW w:w="1199" w:type="pct"/>
            <w:gridSpan w:val="2"/>
            <w:tcBorders>
              <w:top w:val="single" w:sz="4" w:space="0" w:color="auto"/>
              <w:left w:val="single" w:sz="4" w:space="0" w:color="auto"/>
              <w:bottom w:val="nil"/>
              <w:right w:val="single" w:sz="4" w:space="0" w:color="auto"/>
            </w:tcBorders>
            <w:shd w:val="clear" w:color="auto" w:fill="FFFFFF"/>
          </w:tcPr>
          <w:p w14:paraId="1D9D6FE3"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p>
        </w:tc>
      </w:tr>
      <w:tr w:rsidR="00CC7029" w:rsidRPr="00C342A7" w14:paraId="1D9D6FE8" w14:textId="77777777" w:rsidTr="00F96F47">
        <w:tc>
          <w:tcPr>
            <w:tcW w:w="2525" w:type="pct"/>
            <w:gridSpan w:val="4"/>
            <w:vMerge/>
            <w:tcBorders>
              <w:top w:val="nil"/>
              <w:left w:val="single" w:sz="4" w:space="0" w:color="auto"/>
              <w:bottom w:val="nil"/>
              <w:right w:val="nil"/>
            </w:tcBorders>
            <w:shd w:val="clear" w:color="auto" w:fill="FFFFFF"/>
            <w:vAlign w:val="center"/>
          </w:tcPr>
          <w:p w14:paraId="1D9D6FE5"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1D9D6FE6"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Urban planner Antonia PANAITESCU</w:t>
            </w:r>
          </w:p>
        </w:tc>
        <w:tc>
          <w:tcPr>
            <w:tcW w:w="1199" w:type="pct"/>
            <w:gridSpan w:val="2"/>
            <w:tcBorders>
              <w:top w:val="single" w:sz="4" w:space="0" w:color="auto"/>
              <w:left w:val="single" w:sz="4" w:space="0" w:color="auto"/>
              <w:bottom w:val="nil"/>
              <w:right w:val="single" w:sz="4" w:space="0" w:color="auto"/>
            </w:tcBorders>
            <w:shd w:val="clear" w:color="auto" w:fill="FFFFFF"/>
          </w:tcPr>
          <w:p w14:paraId="1D9D6FE7"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p>
        </w:tc>
      </w:tr>
      <w:tr w:rsidR="00CC7029" w:rsidRPr="00C342A7" w14:paraId="1D9D6FEC" w14:textId="77777777" w:rsidTr="00F96F47">
        <w:tc>
          <w:tcPr>
            <w:tcW w:w="2525" w:type="pct"/>
            <w:gridSpan w:val="4"/>
            <w:vMerge/>
            <w:tcBorders>
              <w:top w:val="nil"/>
              <w:left w:val="single" w:sz="4" w:space="0" w:color="auto"/>
              <w:bottom w:val="nil"/>
              <w:right w:val="nil"/>
            </w:tcBorders>
            <w:shd w:val="clear" w:color="auto" w:fill="FFFFFF"/>
            <w:vAlign w:val="center"/>
          </w:tcPr>
          <w:p w14:paraId="1D9D6FE9"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1D9D6FEA"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Urban planner Elena - Cristina PELMUS</w:t>
            </w:r>
          </w:p>
        </w:tc>
        <w:tc>
          <w:tcPr>
            <w:tcW w:w="1199" w:type="pct"/>
            <w:gridSpan w:val="2"/>
            <w:tcBorders>
              <w:top w:val="single" w:sz="4" w:space="0" w:color="auto"/>
              <w:left w:val="single" w:sz="4" w:space="0" w:color="auto"/>
              <w:bottom w:val="nil"/>
              <w:right w:val="single" w:sz="4" w:space="0" w:color="auto"/>
            </w:tcBorders>
            <w:shd w:val="clear" w:color="auto" w:fill="FFFFFF"/>
          </w:tcPr>
          <w:p w14:paraId="1D9D6FEB"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p>
        </w:tc>
      </w:tr>
      <w:tr w:rsidR="00CC7029" w:rsidRPr="00C342A7" w14:paraId="1D9D6FF1" w14:textId="77777777" w:rsidTr="00F96F47">
        <w:tc>
          <w:tcPr>
            <w:tcW w:w="1289" w:type="pct"/>
            <w:gridSpan w:val="2"/>
            <w:vMerge w:val="restart"/>
            <w:tcBorders>
              <w:top w:val="single" w:sz="4" w:space="0" w:color="auto"/>
              <w:left w:val="single" w:sz="4" w:space="0" w:color="auto"/>
              <w:bottom w:val="nil"/>
              <w:right w:val="nil"/>
            </w:tcBorders>
            <w:shd w:val="clear" w:color="auto" w:fill="FFFFFF"/>
          </w:tcPr>
          <w:p w14:paraId="1D9D6FED" w14:textId="77777777" w:rsidR="00CC7029" w:rsidRPr="00C342A7" w:rsidRDefault="00CC7029" w:rsidP="00F96F47">
            <w:pPr>
              <w:spacing w:after="0" w:line="240" w:lineRule="auto"/>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SHEET NAME:</w:t>
            </w:r>
          </w:p>
        </w:tc>
        <w:tc>
          <w:tcPr>
            <w:tcW w:w="1236" w:type="pct"/>
            <w:gridSpan w:val="2"/>
            <w:vMerge w:val="restart"/>
            <w:tcBorders>
              <w:top w:val="single" w:sz="4" w:space="0" w:color="auto"/>
              <w:left w:val="single" w:sz="4" w:space="0" w:color="auto"/>
              <w:bottom w:val="nil"/>
              <w:right w:val="nil"/>
            </w:tcBorders>
            <w:shd w:val="clear" w:color="auto" w:fill="FFFFFF"/>
          </w:tcPr>
          <w:p w14:paraId="1D9D6FEE" w14:textId="77777777" w:rsidR="00CC7029" w:rsidRPr="00C342A7" w:rsidRDefault="0096767D" w:rsidP="00AC5ACE">
            <w:pPr>
              <w:spacing w:after="0" w:line="240" w:lineRule="auto"/>
              <w:jc w:val="both"/>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CURRENT CHARACTERISTICS OF THE STREET NETWORK, PLOT AND BUILT-UP LAND</w:t>
            </w:r>
          </w:p>
        </w:tc>
        <w:tc>
          <w:tcPr>
            <w:tcW w:w="1276" w:type="pct"/>
            <w:gridSpan w:val="2"/>
            <w:tcBorders>
              <w:top w:val="single" w:sz="4" w:space="0" w:color="auto"/>
              <w:left w:val="single" w:sz="4" w:space="0" w:color="auto"/>
              <w:bottom w:val="nil"/>
              <w:right w:val="nil"/>
            </w:tcBorders>
            <w:shd w:val="clear" w:color="auto" w:fill="FFFFFF"/>
          </w:tcPr>
          <w:p w14:paraId="1D9D6FEF" w14:textId="77777777" w:rsidR="00CC7029" w:rsidRPr="00C342A7" w:rsidRDefault="00CC7029" w:rsidP="00F96F47">
            <w:pPr>
              <w:spacing w:after="0" w:line="240" w:lineRule="auto"/>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SCALE: -</w:t>
            </w:r>
          </w:p>
        </w:tc>
        <w:tc>
          <w:tcPr>
            <w:tcW w:w="1199" w:type="pct"/>
            <w:gridSpan w:val="2"/>
            <w:tcBorders>
              <w:top w:val="single" w:sz="4" w:space="0" w:color="auto"/>
              <w:left w:val="single" w:sz="4" w:space="0" w:color="auto"/>
              <w:bottom w:val="nil"/>
              <w:right w:val="single" w:sz="4" w:space="0" w:color="auto"/>
            </w:tcBorders>
            <w:shd w:val="clear" w:color="auto" w:fill="FFFFFF"/>
          </w:tcPr>
          <w:p w14:paraId="1D9D6FF0"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b/>
                <w:color w:val="000000"/>
                <w:sz w:val="18"/>
                <w:lang w:val="en-US"/>
              </w:rPr>
              <w:t>PROJECT NO.:</w:t>
            </w:r>
            <w:r w:rsidRPr="00C342A7">
              <w:rPr>
                <w:rFonts w:ascii="Times New Roman" w:hAnsi="Times New Roman"/>
                <w:color w:val="000000"/>
                <w:sz w:val="18"/>
                <w:lang w:val="en-US"/>
              </w:rPr>
              <w:t xml:space="preserve"> 6407/09306.2023</w:t>
            </w:r>
          </w:p>
        </w:tc>
      </w:tr>
      <w:tr w:rsidR="00CC7029" w:rsidRPr="00C342A7" w14:paraId="1D9D6FF6" w14:textId="77777777" w:rsidTr="00F96F47">
        <w:tc>
          <w:tcPr>
            <w:tcW w:w="1289" w:type="pct"/>
            <w:gridSpan w:val="2"/>
            <w:vMerge/>
            <w:tcBorders>
              <w:top w:val="nil"/>
              <w:left w:val="single" w:sz="4" w:space="0" w:color="auto"/>
              <w:bottom w:val="nil"/>
              <w:right w:val="nil"/>
            </w:tcBorders>
            <w:shd w:val="clear" w:color="auto" w:fill="FFFFFF"/>
          </w:tcPr>
          <w:p w14:paraId="1D9D6FF2"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p>
        </w:tc>
        <w:tc>
          <w:tcPr>
            <w:tcW w:w="1236" w:type="pct"/>
            <w:gridSpan w:val="2"/>
            <w:vMerge/>
            <w:tcBorders>
              <w:top w:val="nil"/>
              <w:left w:val="single" w:sz="4" w:space="0" w:color="auto"/>
              <w:bottom w:val="nil"/>
              <w:right w:val="nil"/>
            </w:tcBorders>
            <w:shd w:val="clear" w:color="auto" w:fill="FFFFFF"/>
          </w:tcPr>
          <w:p w14:paraId="1D9D6FF3"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1D9D6FF4" w14:textId="77777777" w:rsidR="00CC7029" w:rsidRPr="00C342A7" w:rsidRDefault="00CC7029" w:rsidP="00F96F47">
            <w:pPr>
              <w:spacing w:after="0" w:line="240" w:lineRule="auto"/>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ELABORATION DATE:</w:t>
            </w:r>
          </w:p>
        </w:tc>
        <w:tc>
          <w:tcPr>
            <w:tcW w:w="1199" w:type="pct"/>
            <w:gridSpan w:val="2"/>
            <w:tcBorders>
              <w:top w:val="single" w:sz="4" w:space="0" w:color="auto"/>
              <w:left w:val="single" w:sz="4" w:space="0" w:color="auto"/>
              <w:bottom w:val="nil"/>
              <w:right w:val="single" w:sz="4" w:space="0" w:color="auto"/>
            </w:tcBorders>
            <w:shd w:val="clear" w:color="auto" w:fill="FFFFFF"/>
          </w:tcPr>
          <w:p w14:paraId="1D9D6FF5"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JULY 2023</w:t>
            </w:r>
          </w:p>
        </w:tc>
      </w:tr>
      <w:tr w:rsidR="00CC7029" w:rsidRPr="00C342A7" w14:paraId="1D9D6FFB" w14:textId="77777777" w:rsidTr="00F96F47">
        <w:tc>
          <w:tcPr>
            <w:tcW w:w="1289" w:type="pct"/>
            <w:gridSpan w:val="2"/>
            <w:tcBorders>
              <w:top w:val="single" w:sz="4" w:space="0" w:color="auto"/>
              <w:left w:val="single" w:sz="4" w:space="0" w:color="auto"/>
              <w:bottom w:val="single" w:sz="4" w:space="0" w:color="auto"/>
              <w:right w:val="nil"/>
            </w:tcBorders>
            <w:shd w:val="clear" w:color="auto" w:fill="FFFFFF"/>
          </w:tcPr>
          <w:p w14:paraId="1D9D6FF7" w14:textId="77777777" w:rsidR="00CC7029" w:rsidRPr="00C342A7" w:rsidRDefault="00CC7029" w:rsidP="00F96F47">
            <w:pPr>
              <w:spacing w:after="0" w:line="240" w:lineRule="auto"/>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SHEET NUMBER:</w:t>
            </w:r>
          </w:p>
        </w:tc>
        <w:tc>
          <w:tcPr>
            <w:tcW w:w="1236" w:type="pct"/>
            <w:gridSpan w:val="2"/>
            <w:tcBorders>
              <w:top w:val="single" w:sz="4" w:space="0" w:color="auto"/>
              <w:left w:val="single" w:sz="4" w:space="0" w:color="auto"/>
              <w:bottom w:val="single" w:sz="4" w:space="0" w:color="auto"/>
              <w:right w:val="nil"/>
            </w:tcBorders>
            <w:shd w:val="clear" w:color="auto" w:fill="FFFFFF"/>
          </w:tcPr>
          <w:p w14:paraId="1D9D6FF8" w14:textId="77777777" w:rsidR="00CC7029" w:rsidRPr="00C342A7" w:rsidRDefault="00CC7029" w:rsidP="00892AF2">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SHEET 1.5.</w:t>
            </w:r>
          </w:p>
        </w:tc>
        <w:tc>
          <w:tcPr>
            <w:tcW w:w="1276" w:type="pct"/>
            <w:gridSpan w:val="2"/>
            <w:tcBorders>
              <w:top w:val="single" w:sz="4" w:space="0" w:color="auto"/>
              <w:left w:val="single" w:sz="4" w:space="0" w:color="auto"/>
              <w:bottom w:val="single" w:sz="4" w:space="0" w:color="auto"/>
              <w:right w:val="nil"/>
            </w:tcBorders>
            <w:shd w:val="clear" w:color="auto" w:fill="FFFFFF"/>
          </w:tcPr>
          <w:p w14:paraId="1D9D6FF9" w14:textId="77777777" w:rsidR="00CC7029" w:rsidRPr="00C342A7" w:rsidRDefault="00CC7029" w:rsidP="00F96F47">
            <w:pPr>
              <w:spacing w:after="0" w:line="240" w:lineRule="auto"/>
              <w:rPr>
                <w:rFonts w:ascii="Times New Roman" w:eastAsia="Times New Roman" w:hAnsi="Times New Roman" w:cs="Times New Roman"/>
                <w:b/>
                <w:sz w:val="18"/>
                <w:szCs w:val="18"/>
                <w:lang w:val="en-US"/>
              </w:rPr>
            </w:pPr>
            <w:r w:rsidRPr="00C342A7">
              <w:rPr>
                <w:rFonts w:ascii="Times New Roman" w:hAnsi="Times New Roman"/>
                <w:b/>
                <w:color w:val="000000"/>
                <w:sz w:val="18"/>
                <w:lang w:val="en-US"/>
              </w:rPr>
              <w:t>BENEFICIARY:</w:t>
            </w:r>
          </w:p>
        </w:tc>
        <w:tc>
          <w:tcPr>
            <w:tcW w:w="1199" w:type="pct"/>
            <w:gridSpan w:val="2"/>
            <w:tcBorders>
              <w:top w:val="single" w:sz="4" w:space="0" w:color="auto"/>
              <w:left w:val="single" w:sz="4" w:space="0" w:color="auto"/>
              <w:bottom w:val="single" w:sz="4" w:space="0" w:color="auto"/>
              <w:right w:val="single" w:sz="4" w:space="0" w:color="auto"/>
            </w:tcBorders>
            <w:shd w:val="clear" w:color="auto" w:fill="FFFFFF"/>
          </w:tcPr>
          <w:p w14:paraId="1D9D6FFA" w14:textId="77777777" w:rsidR="00CC7029" w:rsidRPr="00C342A7" w:rsidRDefault="00CC7029" w:rsidP="00F96F47">
            <w:pPr>
              <w:spacing w:after="0" w:line="240" w:lineRule="auto"/>
              <w:rPr>
                <w:rFonts w:ascii="Times New Roman" w:eastAsia="Times New Roman" w:hAnsi="Times New Roman" w:cs="Times New Roman"/>
                <w:sz w:val="18"/>
                <w:szCs w:val="18"/>
                <w:lang w:val="en-US"/>
              </w:rPr>
            </w:pPr>
            <w:r w:rsidRPr="00C342A7">
              <w:rPr>
                <w:rFonts w:ascii="Times New Roman" w:hAnsi="Times New Roman"/>
                <w:color w:val="000000"/>
                <w:sz w:val="18"/>
                <w:lang w:val="en-US"/>
              </w:rPr>
              <w:t>BUCHAREST UNIVERSITY</w:t>
            </w:r>
          </w:p>
        </w:tc>
      </w:tr>
    </w:tbl>
    <w:p w14:paraId="1D9D6FFC" w14:textId="77777777" w:rsidR="00CC7029" w:rsidRPr="00C342A7" w:rsidRDefault="00CC7029" w:rsidP="00CC7029">
      <w:pPr>
        <w:rPr>
          <w:rFonts w:ascii="Times New Roman" w:hAnsi="Times New Roman" w:cs="Times New Roman"/>
          <w:lang w:val="en-US"/>
        </w:rPr>
      </w:pPr>
    </w:p>
    <w:sectPr w:rsidR="00CC7029" w:rsidRPr="00C342A7" w:rsidSect="00BF7FEF">
      <w:pgSz w:w="15840" w:h="12240" w:orient="landscape"/>
      <w:pgMar w:top="108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86819"/>
    <w:rsid w:val="00063027"/>
    <w:rsid w:val="00101412"/>
    <w:rsid w:val="00160286"/>
    <w:rsid w:val="0016181F"/>
    <w:rsid w:val="001A516D"/>
    <w:rsid w:val="001F0D49"/>
    <w:rsid w:val="001F66AF"/>
    <w:rsid w:val="0028628D"/>
    <w:rsid w:val="002A6ABA"/>
    <w:rsid w:val="00320F90"/>
    <w:rsid w:val="003534BE"/>
    <w:rsid w:val="003C747F"/>
    <w:rsid w:val="003E3C50"/>
    <w:rsid w:val="00416D04"/>
    <w:rsid w:val="004D22A5"/>
    <w:rsid w:val="00552EA4"/>
    <w:rsid w:val="00786819"/>
    <w:rsid w:val="00890F71"/>
    <w:rsid w:val="00892AF2"/>
    <w:rsid w:val="008F37BF"/>
    <w:rsid w:val="0096767D"/>
    <w:rsid w:val="009E6B71"/>
    <w:rsid w:val="00A353A0"/>
    <w:rsid w:val="00AC5ACE"/>
    <w:rsid w:val="00AD59FA"/>
    <w:rsid w:val="00B245B6"/>
    <w:rsid w:val="00B46B35"/>
    <w:rsid w:val="00BF7FEF"/>
    <w:rsid w:val="00C342A7"/>
    <w:rsid w:val="00C731FC"/>
    <w:rsid w:val="00CC7029"/>
    <w:rsid w:val="00D10571"/>
    <w:rsid w:val="00D37955"/>
    <w:rsid w:val="00E93F57"/>
    <w:rsid w:val="00F449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D9D6F78"/>
  <w15:docId w15:val="{8B5EF2F9-C877-44EF-8393-E14011489E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02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F7F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7F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FE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0B315C01EFA64DA5320855C43F447C" ma:contentTypeVersion="19" ma:contentTypeDescription="Create a new document." ma:contentTypeScope="" ma:versionID="cf42d10d52e0aed8ec4cf4d9e1bfdc47">
  <xsd:schema xmlns:xsd="http://www.w3.org/2001/XMLSchema" xmlns:xs="http://www.w3.org/2001/XMLSchema" xmlns:p="http://schemas.microsoft.com/office/2006/metadata/properties" xmlns:ns2="00e79577-5ac5-48c9-b204-f95998542bf3" xmlns:ns3="58a43870-bf46-4100-9cae-3929bce8fb1b" targetNamespace="http://schemas.microsoft.com/office/2006/metadata/properties" ma:root="true" ma:fieldsID="12241b64b6da8c959358643bca56601b" ns2:_="" ns3:_="">
    <xsd:import namespace="00e79577-5ac5-48c9-b204-f95998542bf3"/>
    <xsd:import namespace="58a43870-bf46-4100-9cae-3929bce8fb1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e79577-5ac5-48c9-b204-f95998542b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f5446fc-ec88-4e47-87af-7458ec1c995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8a43870-bf46-4100-9cae-3929bce8fb1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1decaaf-8286-4737-8af7-f13c749a960b}" ma:internalName="TaxCatchAll" ma:showField="CatchAllData" ma:web="58a43870-bf46-4100-9cae-3929bce8fb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8a43870-bf46-4100-9cae-3929bce8fb1b" xsi:nil="true"/>
    <lcf76f155ced4ddcb4097134ff3c332f xmlns="00e79577-5ac5-48c9-b204-f95998542bf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7A21FA5-1CB2-4942-9B75-56E4911820A8}"/>
</file>

<file path=customXml/itemProps2.xml><?xml version="1.0" encoding="utf-8"?>
<ds:datastoreItem xmlns:ds="http://schemas.openxmlformats.org/officeDocument/2006/customXml" ds:itemID="{D594E5B7-4652-4C88-A0C2-D36E90E85359}">
  <ds:schemaRefs>
    <ds:schemaRef ds:uri="http://schemas.microsoft.com/office/2006/metadata/properties"/>
    <ds:schemaRef ds:uri="http://schemas.microsoft.com/office/infopath/2007/PartnerControls"/>
    <ds:schemaRef ds:uri="58a43870-bf46-4100-9cae-3929bce8fb1b"/>
    <ds:schemaRef ds:uri="00e79577-5ac5-48c9-b204-f95998542bf3"/>
  </ds:schemaRefs>
</ds:datastoreItem>
</file>

<file path=customXml/itemProps3.xml><?xml version="1.0" encoding="utf-8"?>
<ds:datastoreItem xmlns:ds="http://schemas.openxmlformats.org/officeDocument/2006/customXml" ds:itemID="{ABBFBC8E-769D-41F8-A177-BA387302AF0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6</Pages>
  <Words>1666</Words>
  <Characters>8850</Characters>
  <Application>Microsoft Office Word</Application>
  <DocSecurity>0</DocSecurity>
  <Lines>266</Lines>
  <Paragraphs>93</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10434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PANA</dc:creator>
  <cp:keywords/>
  <dc:description/>
  <cp:lastModifiedBy>Pepe Peralta</cp:lastModifiedBy>
  <cp:revision>17</cp:revision>
  <dcterms:created xsi:type="dcterms:W3CDTF">2025-10-05T16:57:00Z</dcterms:created>
  <dcterms:modified xsi:type="dcterms:W3CDTF">2025-10-22T10:34:00Z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0x0101004D0B315C01EFA64DA5320855C43F447C</vt:lpwstr>
  </property>
  <property fmtid="{D5CDD505-2E9C-101B-9397-08002B2CF9AE}" pid="3" name="GrammarlyDocumentId">
    <vt:lpwstr>41a35800-b399-4e58-b35f-58264d5d45de</vt:lpwstr>
  </property>
  <property fmtid="{D5CDD505-2E9C-101B-9397-08002B2CF9AE}" pid="4" name="MediaServiceImageTags">
    <vt:lpwstr/>
  </property>
</Properties>
</file>